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5FE3" w14:textId="77777777" w:rsidR="00D108B8" w:rsidRDefault="00D108B8" w:rsidP="0005508E">
      <w:pPr>
        <w:pStyle w:val="APAReference"/>
      </w:pPr>
    </w:p>
    <w:p w14:paraId="3BDDDE51" w14:textId="77777777" w:rsidR="00D108B8" w:rsidRDefault="00D108B8" w:rsidP="00D108B8">
      <w:pPr>
        <w:pStyle w:val="CenteredTextSingleSpace"/>
        <w:spacing w:line="480" w:lineRule="auto"/>
      </w:pPr>
    </w:p>
    <w:p w14:paraId="6B96026E" w14:textId="77777777" w:rsidR="005E249F" w:rsidRDefault="005E249F" w:rsidP="00D108B8">
      <w:pPr>
        <w:pStyle w:val="CenteredTextSingleSpace"/>
        <w:spacing w:line="480" w:lineRule="auto"/>
      </w:pPr>
    </w:p>
    <w:p w14:paraId="1D8709B0" w14:textId="77777777" w:rsidR="00165C94" w:rsidRDefault="00165C94" w:rsidP="00D108B8">
      <w:pPr>
        <w:pStyle w:val="CenteredTextSingleSpace"/>
        <w:spacing w:line="480" w:lineRule="auto"/>
      </w:pPr>
    </w:p>
    <w:p w14:paraId="33301B50" w14:textId="302AE0F2" w:rsidR="00442B8F" w:rsidRDefault="6788E046" w:rsidP="00D108B8">
      <w:pPr>
        <w:pStyle w:val="CenteredTextSingleSpace"/>
        <w:spacing w:line="480" w:lineRule="auto"/>
        <w:rPr>
          <w:b/>
          <w:bCs/>
        </w:rPr>
      </w:pPr>
      <w:r w:rsidRPr="00966EB6">
        <w:rPr>
          <w:b/>
          <w:bCs/>
        </w:rPr>
        <w:t xml:space="preserve">Week </w:t>
      </w:r>
      <w:r w:rsidR="00282AAC">
        <w:rPr>
          <w:b/>
          <w:bCs/>
        </w:rPr>
        <w:t xml:space="preserve">5 Final Paper: </w:t>
      </w:r>
      <w:r w:rsidR="009651A0">
        <w:rPr>
          <w:b/>
          <w:bCs/>
        </w:rPr>
        <w:t>Climate Change: A Global Issue</w:t>
      </w:r>
      <w:r w:rsidR="0081749E" w:rsidRPr="00966EB6">
        <w:rPr>
          <w:b/>
          <w:bCs/>
        </w:rPr>
        <w:t xml:space="preserve"> </w:t>
      </w:r>
    </w:p>
    <w:p w14:paraId="096B0EEB" w14:textId="20199A02" w:rsidR="005E249F" w:rsidRDefault="0038055D" w:rsidP="00D108B8">
      <w:pPr>
        <w:pStyle w:val="CenteredTextSingleSpace"/>
        <w:spacing w:line="480" w:lineRule="auto"/>
      </w:pPr>
      <w:r>
        <w:t>Jill Thonssen</w:t>
      </w:r>
    </w:p>
    <w:p w14:paraId="65F1F475" w14:textId="59C55A06" w:rsidR="005E249F" w:rsidRDefault="00280FC7" w:rsidP="00D108B8">
      <w:pPr>
        <w:pStyle w:val="CenteredTextSingleSpace"/>
        <w:spacing w:line="480" w:lineRule="auto"/>
      </w:pPr>
      <w:r>
        <w:t>GEN499 General Education Capstone</w:t>
      </w:r>
    </w:p>
    <w:p w14:paraId="04386EBA" w14:textId="5396112A" w:rsidR="00442B8F" w:rsidRDefault="0038055D" w:rsidP="00D108B8">
      <w:pPr>
        <w:pStyle w:val="CenteredTextSingleSpace"/>
        <w:spacing w:line="480" w:lineRule="auto"/>
      </w:pPr>
      <w:r>
        <w:t>Sonja Bethune</w:t>
      </w:r>
    </w:p>
    <w:p w14:paraId="3EF3391A" w14:textId="5B2425C4" w:rsidR="009A7E76" w:rsidRDefault="00282AAC" w:rsidP="00442B8F">
      <w:pPr>
        <w:pStyle w:val="CenteredTextSingleSpace"/>
        <w:spacing w:line="480" w:lineRule="auto"/>
      </w:pPr>
      <w:r>
        <w:t>Mar</w:t>
      </w:r>
      <w:r w:rsidR="00B73B2A">
        <w:t>c</w:t>
      </w:r>
      <w:r>
        <w:t>h</w:t>
      </w:r>
      <w:r w:rsidR="0038055D">
        <w:t xml:space="preserve"> 1</w:t>
      </w:r>
      <w:r w:rsidR="00B73B2A">
        <w:t>5</w:t>
      </w:r>
      <w:r w:rsidR="0038055D">
        <w:t>, 2020</w:t>
      </w:r>
    </w:p>
    <w:p w14:paraId="5E16649A" w14:textId="77777777" w:rsidR="0038055D" w:rsidRDefault="0038055D" w:rsidP="00442B8F">
      <w:pPr>
        <w:pStyle w:val="CenteredTextSingleSpace"/>
        <w:spacing w:line="480" w:lineRule="auto"/>
      </w:pPr>
    </w:p>
    <w:p w14:paraId="012B26AA" w14:textId="77777777" w:rsidR="0038055D" w:rsidRPr="00442B8F" w:rsidRDefault="0038055D" w:rsidP="00442B8F">
      <w:pPr>
        <w:pStyle w:val="CenteredTextSingleSpace"/>
        <w:spacing w:line="480" w:lineRule="auto"/>
        <w:sectPr w:rsidR="0038055D" w:rsidRPr="00442B8F" w:rsidSect="00D108B8">
          <w:headerReference w:type="even" r:id="rId11"/>
          <w:headerReference w:type="default" r:id="rId12"/>
          <w:footerReference w:type="default" r:id="rId13"/>
          <w:pgSz w:w="12240" w:h="15840" w:code="1"/>
          <w:pgMar w:top="1440" w:right="1440" w:bottom="1440" w:left="1440" w:header="1440" w:footer="1440" w:gutter="0"/>
          <w:pgNumType w:start="1"/>
          <w:cols w:space="720"/>
          <w:noEndnote/>
          <w:docGrid w:linePitch="326"/>
        </w:sectPr>
      </w:pPr>
    </w:p>
    <w:p w14:paraId="745E289B" w14:textId="37390089" w:rsidR="00834BAA" w:rsidRPr="00834BAA" w:rsidRDefault="002B10C0" w:rsidP="00834BAA">
      <w:pPr>
        <w:pStyle w:val="CenteredTextSingleSpace"/>
        <w:spacing w:line="480" w:lineRule="auto"/>
        <w:rPr>
          <w:b/>
        </w:rPr>
      </w:pPr>
      <w:r>
        <w:rPr>
          <w:b/>
        </w:rPr>
        <w:lastRenderedPageBreak/>
        <w:t>Climate Change</w:t>
      </w:r>
      <w:r w:rsidR="00DB2443">
        <w:rPr>
          <w:b/>
        </w:rPr>
        <w:t>: A Global Issue</w:t>
      </w:r>
    </w:p>
    <w:p w14:paraId="609519A4" w14:textId="503ECFC9" w:rsidR="00496610" w:rsidRPr="009C53CC" w:rsidRDefault="00496610" w:rsidP="00496610">
      <w:pPr>
        <w:spacing w:line="480" w:lineRule="auto"/>
        <w:ind w:firstLine="720"/>
        <w:rPr>
          <w:i/>
        </w:rPr>
      </w:pPr>
      <w:r>
        <w:t>Climate change (</w:t>
      </w:r>
      <w:r w:rsidR="00D13FFB">
        <w:t>sometimes referred to as</w:t>
      </w:r>
      <w:r>
        <w:t xml:space="preserve"> global warming) is a controversial topic with a lack of consensus on the cause of climate change, which then leads to a lack of consensus on the possible solutions. The causes and solutions are further complicated by the various economic, political, and cultural aspects across the globe. </w:t>
      </w:r>
      <w:r w:rsidR="007D5954">
        <w:t>“</w:t>
      </w:r>
      <w:r w:rsidR="00BC0345" w:rsidRPr="00E27D41">
        <w:t>Climate change is an extremely complex phenomenon, with many challenging policy implications.</w:t>
      </w:r>
      <w:r w:rsidR="007D5954">
        <w:t xml:space="preserve">” </w:t>
      </w:r>
      <w:r w:rsidR="00BC0345" w:rsidRPr="00E27D41">
        <w:t>(</w:t>
      </w:r>
      <w:proofErr w:type="spellStart"/>
      <w:r w:rsidR="00E27D41" w:rsidRPr="00DB2443">
        <w:t>Mesarovic</w:t>
      </w:r>
      <w:proofErr w:type="spellEnd"/>
      <w:r w:rsidR="00E27D41" w:rsidRPr="00DB2443">
        <w:t>, 2015,</w:t>
      </w:r>
      <w:r w:rsidR="00BC0345" w:rsidRPr="00DB2443">
        <w:t xml:space="preserve"> </w:t>
      </w:r>
      <w:r w:rsidR="00DB2443">
        <w:t xml:space="preserve">p. </w:t>
      </w:r>
      <w:r w:rsidR="00BC0345" w:rsidRPr="00DB2443">
        <w:t>S260</w:t>
      </w:r>
      <w:r w:rsidR="00BC0345" w:rsidRPr="00E27D41">
        <w:t xml:space="preserve">) </w:t>
      </w:r>
      <w:r w:rsidR="00D13FFB">
        <w:t>The idea that one policy will work for every country across the globe is naïve</w:t>
      </w:r>
      <w:r w:rsidR="00D13FFB" w:rsidRPr="00E27D41">
        <w:t xml:space="preserve">. </w:t>
      </w:r>
      <w:r>
        <w:t xml:space="preserve">Instead, we need to </w:t>
      </w:r>
      <w:r w:rsidR="00BC0345">
        <w:t>start with</w:t>
      </w:r>
      <w:r>
        <w:t xml:space="preserve"> a global guideline that then allows for each country to take action and implement changes that best suit each country’s economic, political, and cultural aspects. This approach also takes into account the other s</w:t>
      </w:r>
      <w:r w:rsidR="00BC0345">
        <w:t>ide of the climate change issue:</w:t>
      </w:r>
      <w:r>
        <w:t xml:space="preserve"> the impact of each country’s contribution to climate change. In this way, there is a balance between the contribution to climate change and the expected actions. And even without consensus on the cause, there are still actions we can take to offset climate change. Despite the perceived lack of consensus by scientists on the cause of climate change, continuance of current global policies and actions, reinstatement of the Paris Agreement by the United States, and continued lower-</w:t>
      </w:r>
      <w:r w:rsidRPr="00DB2443">
        <w:t>level actions</w:t>
      </w:r>
      <w:r w:rsidR="00CF3C35" w:rsidRPr="00DB2443">
        <w:t xml:space="preserve"> </w:t>
      </w:r>
      <w:r>
        <w:t>will help offset the factors that may contribute to climate change.</w:t>
      </w:r>
    </w:p>
    <w:p w14:paraId="77797773" w14:textId="14B62A40" w:rsidR="008A1DBC" w:rsidRDefault="008A1DBC" w:rsidP="008A1DBC">
      <w:pPr>
        <w:spacing w:line="480" w:lineRule="auto"/>
        <w:ind w:firstLine="720"/>
      </w:pPr>
      <w:r>
        <w:t xml:space="preserve">First, we need to clarify terminology. Although used interchangeably by most people and the media, climate change and global warming are NOT the same thing. </w:t>
      </w:r>
      <w:r w:rsidRPr="00533C2F">
        <w:t xml:space="preserve">Global warming involves a trend of increasing average surface-level temperatures. Climate change, in contrast, refers to complex phenomena that arise from an overall warming trend but include other climatic occurrences, </w:t>
      </w:r>
      <w:r w:rsidR="007D5954">
        <w:t xml:space="preserve">such as flooding, drought, and </w:t>
      </w:r>
      <w:r w:rsidRPr="00533C2F">
        <w:t>even unseasonable cold</w:t>
      </w:r>
      <w:r w:rsidRPr="00DB2443">
        <w:t>. (</w:t>
      </w:r>
      <w:proofErr w:type="spellStart"/>
      <w:r w:rsidRPr="00DB2443">
        <w:t>Baumer</w:t>
      </w:r>
      <w:proofErr w:type="spellEnd"/>
      <w:r w:rsidRPr="00DB2443">
        <w:t>, et al, 2017, p. 295</w:t>
      </w:r>
      <w:r w:rsidRPr="00533C2F">
        <w:t>)</w:t>
      </w:r>
      <w:r>
        <w:t xml:space="preserve"> </w:t>
      </w:r>
    </w:p>
    <w:p w14:paraId="3E8DE0E3" w14:textId="6FF6BCB3" w:rsidR="005D4FE0" w:rsidRDefault="00D13FFB" w:rsidP="005D4FE0">
      <w:pPr>
        <w:spacing w:line="480" w:lineRule="auto"/>
        <w:ind w:firstLine="720"/>
      </w:pPr>
      <w:r>
        <w:lastRenderedPageBreak/>
        <w:t xml:space="preserve">Climate change is not a new issue. </w:t>
      </w:r>
      <w:r w:rsidR="007D5954">
        <w:t>“</w:t>
      </w:r>
      <w:r w:rsidR="000F637E" w:rsidRPr="005D4FE0">
        <w:t xml:space="preserve">At the end of the </w:t>
      </w:r>
      <w:r w:rsidR="000F637E">
        <w:t>19th</w:t>
      </w:r>
      <w:r w:rsidR="000F637E" w:rsidRPr="005D4FE0">
        <w:t xml:space="preserve"> century the average temperature at the surface of the earth decreased and a controversy began </w:t>
      </w:r>
      <w:r w:rsidR="000F637E">
        <w:t>among scientists</w:t>
      </w:r>
      <w:r w:rsidR="00741277">
        <w:t xml:space="preserve"> about the causes of the green</w:t>
      </w:r>
      <w:r w:rsidR="000F637E" w:rsidRPr="005D4FE0">
        <w:t>house effect.</w:t>
      </w:r>
      <w:r w:rsidR="007D5954">
        <w:t>”</w:t>
      </w:r>
      <w:r w:rsidR="000F637E" w:rsidRPr="005D4FE0">
        <w:t xml:space="preserve"> (</w:t>
      </w:r>
      <w:proofErr w:type="spellStart"/>
      <w:r w:rsidR="000F637E" w:rsidRPr="005D4FE0">
        <w:t>d’Apollonia</w:t>
      </w:r>
      <w:proofErr w:type="spellEnd"/>
      <w:r w:rsidR="000F637E" w:rsidRPr="005D4FE0">
        <w:t>, 2013, p. 44)</w:t>
      </w:r>
      <w:r w:rsidR="000F637E">
        <w:t xml:space="preserve"> </w:t>
      </w:r>
      <w:r w:rsidRPr="00E27D41">
        <w:rPr>
          <w:color w:val="231F20"/>
        </w:rPr>
        <w:t xml:space="preserve">The scientists who </w:t>
      </w:r>
      <w:proofErr w:type="spellStart"/>
      <w:r w:rsidRPr="00E27D41">
        <w:rPr>
          <w:color w:val="231F20"/>
        </w:rPr>
        <w:t>laboured</w:t>
      </w:r>
      <w:proofErr w:type="spellEnd"/>
      <w:r w:rsidRPr="00E27D41">
        <w:rPr>
          <w:color w:val="231F20"/>
        </w:rPr>
        <w:t xml:space="preserve"> to understand the Earth's climate discovered that climate is always changing and that many factors influence </w:t>
      </w:r>
      <w:r w:rsidR="000F637E">
        <w:rPr>
          <w:color w:val="231F20"/>
        </w:rPr>
        <w:t xml:space="preserve">it including </w:t>
      </w:r>
      <w:r w:rsidRPr="00E27D41">
        <w:rPr>
          <w:color w:val="231F20"/>
        </w:rPr>
        <w:t>changes in the Earth's orbit, volcanic eruptions and solar variations. (</w:t>
      </w:r>
      <w:proofErr w:type="spellStart"/>
      <w:r w:rsidRPr="00E27D41">
        <w:t>Mesarovic</w:t>
      </w:r>
      <w:proofErr w:type="spellEnd"/>
      <w:r w:rsidRPr="00E27D41">
        <w:t xml:space="preserve">, 2015, </w:t>
      </w:r>
      <w:r w:rsidR="00DB2443">
        <w:t xml:space="preserve">p. </w:t>
      </w:r>
      <w:r w:rsidRPr="00E27D41">
        <w:t>S259</w:t>
      </w:r>
      <w:r w:rsidR="000F637E">
        <w:t>)</w:t>
      </w:r>
      <w:r>
        <w:t xml:space="preserve"> </w:t>
      </w:r>
      <w:r w:rsidR="007D5954">
        <w:t>“</w:t>
      </w:r>
      <w:r w:rsidR="000F637E" w:rsidRPr="00E27D41">
        <w:rPr>
          <w:color w:val="231F20"/>
        </w:rPr>
        <w:t>Today</w:t>
      </w:r>
      <w:r w:rsidR="002100C2">
        <w:rPr>
          <w:color w:val="231F20"/>
        </w:rPr>
        <w:t xml:space="preserve"> many scientists </w:t>
      </w:r>
      <w:r w:rsidR="000F637E" w:rsidRPr="00E27D41">
        <w:rPr>
          <w:color w:val="231F20"/>
        </w:rPr>
        <w:t>add to this list the man-induced impacts on the atmospheric composition of the greenhouse gases from burning fossil fuels and deforestation as important cause</w:t>
      </w:r>
      <w:r w:rsidR="000F637E">
        <w:rPr>
          <w:color w:val="231F20"/>
        </w:rPr>
        <w:t>s</w:t>
      </w:r>
      <w:r w:rsidR="000F637E" w:rsidRPr="00E27D41">
        <w:rPr>
          <w:color w:val="231F20"/>
        </w:rPr>
        <w:t xml:space="preserve"> of climate change</w:t>
      </w:r>
      <w:r w:rsidR="000F637E">
        <w:rPr>
          <w:color w:val="231F20"/>
        </w:rPr>
        <w:t>.</w:t>
      </w:r>
      <w:r w:rsidR="007D5954">
        <w:rPr>
          <w:color w:val="231F20"/>
        </w:rPr>
        <w:t>”</w:t>
      </w:r>
      <w:r w:rsidR="000F637E" w:rsidRPr="00E27D41">
        <w:rPr>
          <w:color w:val="231F20"/>
        </w:rPr>
        <w:t xml:space="preserve"> (</w:t>
      </w:r>
      <w:proofErr w:type="spellStart"/>
      <w:r w:rsidR="000F637E" w:rsidRPr="00E27D41">
        <w:t>Mesarovic</w:t>
      </w:r>
      <w:proofErr w:type="spellEnd"/>
      <w:r w:rsidR="000F637E" w:rsidRPr="00E27D41">
        <w:t xml:space="preserve">, 2015, </w:t>
      </w:r>
      <w:r w:rsidR="00DB2443">
        <w:t xml:space="preserve">p. </w:t>
      </w:r>
      <w:r w:rsidR="000F637E" w:rsidRPr="00E27D41">
        <w:t>S259)</w:t>
      </w:r>
      <w:r w:rsidR="00D82416">
        <w:t xml:space="preserve"> </w:t>
      </w:r>
      <w:r w:rsidR="00B3311D">
        <w:t>These</w:t>
      </w:r>
      <w:r w:rsidR="00C03E7A">
        <w:t xml:space="preserve"> various possible factors that </w:t>
      </w:r>
      <w:r w:rsidR="00B3311D">
        <w:t xml:space="preserve">can </w:t>
      </w:r>
      <w:r w:rsidR="00C03E7A">
        <w:t xml:space="preserve">contribute to climate change, whether ‘normal’ factors that occur throughout the earth’s cycle or man-made, </w:t>
      </w:r>
      <w:r w:rsidR="00B3311D">
        <w:t>all contribute to the climate change discussion</w:t>
      </w:r>
      <w:r w:rsidR="00D82416">
        <w:t>.</w:t>
      </w:r>
    </w:p>
    <w:p w14:paraId="03A27559" w14:textId="680AA175" w:rsidR="00DA0033" w:rsidRDefault="002100C2" w:rsidP="004750D7">
      <w:pPr>
        <w:spacing w:line="480" w:lineRule="auto"/>
        <w:ind w:firstLine="720"/>
      </w:pPr>
      <w:r>
        <w:t xml:space="preserve">Partly because of these man-made impacts, the issue of climate change has </w:t>
      </w:r>
      <w:proofErr w:type="spellStart"/>
      <w:r>
        <w:t>beome</w:t>
      </w:r>
      <w:proofErr w:type="spellEnd"/>
      <w:r>
        <w:t xml:space="preserve"> a global issue. </w:t>
      </w:r>
      <w:r w:rsidR="00741277">
        <w:t>Even those less industrialized countries or regions are still affected by the greenhouse gas emissions</w:t>
      </w:r>
      <w:r w:rsidR="00FC031D">
        <w:t xml:space="preserve"> (also known as CO</w:t>
      </w:r>
      <w:r w:rsidR="00FC031D" w:rsidRPr="00FC031D">
        <w:rPr>
          <w:vertAlign w:val="subscript"/>
        </w:rPr>
        <w:t>2</w:t>
      </w:r>
      <w:r w:rsidR="00FC031D">
        <w:t xml:space="preserve"> emissions)</w:t>
      </w:r>
      <w:r w:rsidR="00741277">
        <w:t xml:space="preserve"> by other countries. In addition are the cascading or cumulative </w:t>
      </w:r>
      <w:r w:rsidR="00FC031D">
        <w:t>consequences</w:t>
      </w:r>
      <w:r w:rsidR="00741277">
        <w:t xml:space="preserve"> resulting from the increased </w:t>
      </w:r>
      <w:r w:rsidR="00741277" w:rsidRPr="00FC031D">
        <w:t>emissions</w:t>
      </w:r>
      <w:r w:rsidR="00741277">
        <w:t xml:space="preserve">. </w:t>
      </w:r>
      <w:r w:rsidR="00FC031D">
        <w:t xml:space="preserve">For example, even though the United States is one of the largest contributor of greenhouse gas emissions that does not mean those emissions only stay in the North American atmosphere. Hence why climate change is a global issue. </w:t>
      </w:r>
      <w:r w:rsidR="00741277">
        <w:t>The globality of the climate change issue</w:t>
      </w:r>
      <w:r>
        <w:t xml:space="preserve"> was reinforced by the creation of the</w:t>
      </w:r>
      <w:r w:rsidR="00CE5D61">
        <w:t xml:space="preserve"> </w:t>
      </w:r>
      <w:proofErr w:type="spellStart"/>
      <w:r w:rsidR="00CE5D61">
        <w:t>Intergovermental</w:t>
      </w:r>
      <w:proofErr w:type="spellEnd"/>
      <w:r w:rsidR="00CE5D61">
        <w:t xml:space="preserve"> Panel on Climate Change</w:t>
      </w:r>
      <w:r>
        <w:t xml:space="preserve"> </w:t>
      </w:r>
      <w:r w:rsidR="00CE5D61">
        <w:t>(</w:t>
      </w:r>
      <w:r>
        <w:t>IPCC</w:t>
      </w:r>
      <w:r w:rsidR="00CE5D61">
        <w:t>)</w:t>
      </w:r>
      <w:r>
        <w:t xml:space="preserve"> in 1988. </w:t>
      </w:r>
      <w:r w:rsidR="00CE5D61">
        <w:t xml:space="preserve">The IPCC is part of the United Nations and was created to provide objective, scientific information and global solutions on the climate change issue. </w:t>
      </w:r>
      <w:r w:rsidR="004750D7">
        <w:t xml:space="preserve">Following the creation of the IPCC was the </w:t>
      </w:r>
      <w:r w:rsidR="004750D7" w:rsidRPr="004750D7">
        <w:t>United Nations Framework Convention on Climate Change</w:t>
      </w:r>
      <w:r w:rsidR="004750D7">
        <w:t xml:space="preserve"> (</w:t>
      </w:r>
      <w:r w:rsidR="004750D7" w:rsidRPr="004750D7">
        <w:t>UNFCCC</w:t>
      </w:r>
      <w:r w:rsidR="004750D7">
        <w:t xml:space="preserve">), an </w:t>
      </w:r>
      <w:hyperlink r:id="rId14" w:tooltip="International law" w:history="1">
        <w:r w:rsidR="004750D7" w:rsidRPr="004750D7">
          <w:t>international</w:t>
        </w:r>
      </w:hyperlink>
      <w:r w:rsidR="004750D7">
        <w:t xml:space="preserve"> </w:t>
      </w:r>
      <w:hyperlink r:id="rId15" w:tooltip="Environmental protocol" w:history="1">
        <w:r w:rsidR="004750D7" w:rsidRPr="004750D7">
          <w:t>environmental treaty</w:t>
        </w:r>
      </w:hyperlink>
      <w:r w:rsidR="004750D7">
        <w:t xml:space="preserve"> adopted in May 1992. The Paris Agreement is an agreement within the UNFCCC dealing </w:t>
      </w:r>
      <w:r w:rsidR="004750D7">
        <w:lastRenderedPageBreak/>
        <w:t xml:space="preserve">specifically with </w:t>
      </w:r>
      <w:r w:rsidR="004750D7" w:rsidRPr="008A1DBC">
        <w:t>greenhouse gas emissions.</w:t>
      </w:r>
      <w:r w:rsidR="008A1DBC">
        <w:t xml:space="preserve"> </w:t>
      </w:r>
      <w:r w:rsidR="004750D7">
        <w:t xml:space="preserve">However, all three of these entities – IPCC, UNFCCC, and the Paris Agreement – focus on greenhouse gas emissions as the only or main </w:t>
      </w:r>
      <w:proofErr w:type="spellStart"/>
      <w:r w:rsidR="004750D7">
        <w:t>contributer</w:t>
      </w:r>
      <w:proofErr w:type="spellEnd"/>
      <w:r w:rsidR="004750D7">
        <w:t xml:space="preserve"> to climate change. </w:t>
      </w:r>
      <w:r w:rsidR="008A1DBC">
        <w:t>And therefore the solutions are mainly focused on reducing greenhouse gas emissions. A</w:t>
      </w:r>
      <w:r w:rsidR="00DA0033">
        <w:t xml:space="preserve"> drawback to this focus is that some people don’t believe that greenho</w:t>
      </w:r>
      <w:r w:rsidR="008A1DBC">
        <w:t xml:space="preserve">use gas emissions are an issue; consequently, climate change is not an issue. </w:t>
      </w:r>
      <w:r w:rsidR="00414D3D">
        <w:t xml:space="preserve">As shown in the numbers from a recent study: </w:t>
      </w:r>
    </w:p>
    <w:p w14:paraId="68A94491" w14:textId="3ECA6887" w:rsidR="00DA0033" w:rsidRDefault="00414D3D" w:rsidP="00414D3D">
      <w:pPr>
        <w:spacing w:line="480" w:lineRule="auto"/>
        <w:ind w:left="720"/>
      </w:pPr>
      <w:r w:rsidRPr="00414D3D">
        <w:rPr>
          <w:color w:val="000000"/>
        </w:rPr>
        <w:t xml:space="preserve">Americans remain more divided than ever on the issue. According to 2014 </w:t>
      </w:r>
      <w:r>
        <w:rPr>
          <w:color w:val="000000"/>
        </w:rPr>
        <w:t>polling data</w:t>
      </w:r>
      <w:r w:rsidRPr="00414D3D">
        <w:rPr>
          <w:color w:val="000000"/>
        </w:rPr>
        <w:t xml:space="preserve">, 25% of Americans were still highly skeptical of climate change, a more than 100% increase in global warming skeptics from 2001. More recent data suggest that only half of the population believes that global warming is mostly human caused and only 20% say they are </w:t>
      </w:r>
      <w:r w:rsidRPr="00414D3D">
        <w:rPr>
          <w:rFonts w:eastAsia="AdvOT1ef757c0+20"/>
          <w:color w:val="000000"/>
        </w:rPr>
        <w:t>“</w:t>
      </w:r>
      <w:r w:rsidRPr="00414D3D">
        <w:rPr>
          <w:color w:val="000000"/>
        </w:rPr>
        <w:t>very worried</w:t>
      </w:r>
      <w:r w:rsidRPr="00414D3D">
        <w:rPr>
          <w:rFonts w:eastAsia="AdvOT1ef757c0+20"/>
          <w:color w:val="000000"/>
        </w:rPr>
        <w:t xml:space="preserve">” </w:t>
      </w:r>
      <w:r w:rsidRPr="00414D3D">
        <w:rPr>
          <w:color w:val="000000"/>
        </w:rPr>
        <w:t xml:space="preserve">about the issue. </w:t>
      </w:r>
      <w:r w:rsidRPr="00DB2443">
        <w:rPr>
          <w:color w:val="000000"/>
        </w:rPr>
        <w:t>(</w:t>
      </w:r>
      <w:proofErr w:type="spellStart"/>
      <w:r w:rsidRPr="00DB2443">
        <w:t>Flusberg</w:t>
      </w:r>
      <w:proofErr w:type="spellEnd"/>
      <w:r w:rsidRPr="00DB2443">
        <w:t>, et al, 2017, p. 769</w:t>
      </w:r>
      <w:r w:rsidRPr="00DB2443">
        <w:rPr>
          <w:color w:val="000000"/>
        </w:rPr>
        <w:t>)</w:t>
      </w:r>
    </w:p>
    <w:p w14:paraId="6B97E75D" w14:textId="77777777" w:rsidR="00AA705B" w:rsidRDefault="00AA705B" w:rsidP="004F33E0">
      <w:pPr>
        <w:spacing w:line="480" w:lineRule="auto"/>
        <w:ind w:firstLine="720"/>
      </w:pPr>
    </w:p>
    <w:p w14:paraId="57E3C8E5" w14:textId="1964BD47" w:rsidR="00826FB4" w:rsidRPr="004F33E0" w:rsidRDefault="001554BD" w:rsidP="004F33E0">
      <w:pPr>
        <w:spacing w:line="480" w:lineRule="auto"/>
        <w:ind w:firstLine="720"/>
        <w:rPr>
          <w:rFonts w:eastAsia="AdvOT1ef757c0+20"/>
        </w:rPr>
      </w:pPr>
      <w:r w:rsidRPr="001554BD">
        <w:t xml:space="preserve">This </w:t>
      </w:r>
      <w:proofErr w:type="spellStart"/>
      <w:r w:rsidRPr="001554BD">
        <w:t>skepticsm</w:t>
      </w:r>
      <w:proofErr w:type="spellEnd"/>
      <w:r w:rsidRPr="001554BD">
        <w:t xml:space="preserve"> tends to reinforce the perceived controversy regarding climate change.</w:t>
      </w:r>
      <w:r>
        <w:t xml:space="preserve"> That controversy is </w:t>
      </w:r>
      <w:r w:rsidR="00496610">
        <w:t>the lack of consensus, or perceived lack of consensus</w:t>
      </w:r>
      <w:r>
        <w:t xml:space="preserve">, on the </w:t>
      </w:r>
      <w:r w:rsidR="00826FB4">
        <w:t>causes</w:t>
      </w:r>
      <w:r>
        <w:t xml:space="preserve"> of climate change</w:t>
      </w:r>
      <w:r w:rsidR="00496610">
        <w:t xml:space="preserve">. This ‘lack of consensus’ is used by climate change detractors or skeptics as a reason for not needing or to avoid implementing any climate change policies. </w:t>
      </w:r>
      <w:r w:rsidR="009136B4">
        <w:t>Much of this lack of consensus</w:t>
      </w:r>
      <w:r w:rsidR="00D82416">
        <w:t xml:space="preserve"> </w:t>
      </w:r>
      <w:r w:rsidR="009136B4">
        <w:t xml:space="preserve">comes from uncertainty. </w:t>
      </w:r>
      <w:r w:rsidR="007D5954">
        <w:t>“</w:t>
      </w:r>
      <w:r w:rsidR="009136B4">
        <w:t>T</w:t>
      </w:r>
      <w:r w:rsidR="009136B4" w:rsidRPr="007E2F1E">
        <w:t>he topic of climate change</w:t>
      </w:r>
      <w:r w:rsidR="004F33E0">
        <w:rPr>
          <w:rFonts w:eastAsia="AdvOT1ef757c0+20"/>
        </w:rPr>
        <w:t xml:space="preserve"> is </w:t>
      </w:r>
      <w:r w:rsidR="009136B4" w:rsidRPr="007E2F1E">
        <w:t>an enormously complex phenomenon that unfolds in varied and dynamic ways over different regions and timescales</w:t>
      </w:r>
      <w:r w:rsidR="004F33E0">
        <w:rPr>
          <w:rFonts w:eastAsia="AdvOT1ef757c0+20"/>
        </w:rPr>
        <w:t>.</w:t>
      </w:r>
      <w:r w:rsidR="007D5954">
        <w:rPr>
          <w:rFonts w:eastAsia="AdvOT1ef757c0+20"/>
        </w:rPr>
        <w:t>”</w:t>
      </w:r>
      <w:r w:rsidR="004F33E0">
        <w:rPr>
          <w:rFonts w:eastAsia="AdvOT1ef757c0+20"/>
        </w:rPr>
        <w:t xml:space="preserve"> </w:t>
      </w:r>
      <w:r w:rsidR="009136B4">
        <w:rPr>
          <w:rFonts w:eastAsia="AdvOT1ef757c0+20"/>
        </w:rPr>
        <w:t>(</w:t>
      </w:r>
      <w:proofErr w:type="spellStart"/>
      <w:r w:rsidR="009136B4" w:rsidRPr="00B44D9C">
        <w:rPr>
          <w:rFonts w:eastAsia="AdvOT1ef757c0+20"/>
        </w:rPr>
        <w:t>Flusberg</w:t>
      </w:r>
      <w:proofErr w:type="spellEnd"/>
      <w:r w:rsidR="00B44D9C" w:rsidRPr="00B44D9C">
        <w:t xml:space="preserve"> et al, 2017, p.</w:t>
      </w:r>
      <w:r w:rsidR="009136B4" w:rsidRPr="00B44D9C">
        <w:rPr>
          <w:rFonts w:eastAsia="AdvOT1ef757c0+20"/>
        </w:rPr>
        <w:t xml:space="preserve"> 771</w:t>
      </w:r>
      <w:r w:rsidR="009136B4">
        <w:rPr>
          <w:rFonts w:eastAsia="AdvOT1ef757c0+20"/>
        </w:rPr>
        <w:t xml:space="preserve">). </w:t>
      </w:r>
      <w:r w:rsidR="004F33E0">
        <w:rPr>
          <w:rFonts w:eastAsia="AdvOT1ef757c0+20"/>
        </w:rPr>
        <w:t xml:space="preserve">And this enormously complex phenomenon does not lend itself to </w:t>
      </w:r>
      <w:r w:rsidR="00AA705B">
        <w:rPr>
          <w:rFonts w:eastAsia="AdvOT1ef757c0+20"/>
        </w:rPr>
        <w:t>a simple</w:t>
      </w:r>
      <w:r w:rsidR="004F33E0">
        <w:rPr>
          <w:rFonts w:eastAsia="AdvOT1ef757c0+20"/>
        </w:rPr>
        <w:t xml:space="preserve"> cause and effect. </w:t>
      </w:r>
      <w:r w:rsidR="00AA705B">
        <w:t>Skeptics and detractors</w:t>
      </w:r>
      <w:r w:rsidR="009136B4" w:rsidRPr="00CF3C35">
        <w:t xml:space="preserve"> point to uncertainty as a way to delay decisions or even stop polic</w:t>
      </w:r>
      <w:r w:rsidR="00AA705B">
        <w:t>ies</w:t>
      </w:r>
      <w:r w:rsidR="009136B4" w:rsidRPr="00CF3C35">
        <w:t>.</w:t>
      </w:r>
      <w:r w:rsidR="004F33E0">
        <w:t xml:space="preserve"> They see uncertainty as ambiguity, indecisiveness, </w:t>
      </w:r>
      <w:r w:rsidR="00B44D9C">
        <w:t xml:space="preserve">and doubt rather than seeing uncertainty as a more open approach to a complex issue. </w:t>
      </w:r>
    </w:p>
    <w:p w14:paraId="7F4F5ADB" w14:textId="45CF5F09" w:rsidR="00496610" w:rsidRDefault="00AA705B" w:rsidP="001554BD">
      <w:pPr>
        <w:spacing w:line="480" w:lineRule="auto"/>
        <w:ind w:firstLine="720"/>
      </w:pPr>
      <w:r>
        <w:lastRenderedPageBreak/>
        <w:t>On the other hand</w:t>
      </w:r>
      <w:r w:rsidR="00496610">
        <w:t xml:space="preserve">, many experts feel that consensus is not only not needed, but not even </w:t>
      </w:r>
      <w:proofErr w:type="spellStart"/>
      <w:proofErr w:type="gramStart"/>
      <w:r w:rsidR="00496610">
        <w:t>possible.“</w:t>
      </w:r>
      <w:proofErr w:type="gramEnd"/>
      <w:r w:rsidR="00496610">
        <w:t>I</w:t>
      </w:r>
      <w:r w:rsidR="00496610" w:rsidRPr="00355449">
        <w:t>t’s</w:t>
      </w:r>
      <w:proofErr w:type="spellEnd"/>
      <w:r w:rsidR="00496610" w:rsidRPr="00355449">
        <w:t xml:space="preserve"> simply not realistic to believe that science can bring objective evidence to such a complex and chaotic phenomenon.” </w:t>
      </w:r>
      <w:r w:rsidR="00496610" w:rsidRPr="00DB2443">
        <w:t>(</w:t>
      </w:r>
      <w:proofErr w:type="spellStart"/>
      <w:r w:rsidR="00496610" w:rsidRPr="00DB2443">
        <w:t>d’Apollonia</w:t>
      </w:r>
      <w:proofErr w:type="spellEnd"/>
      <w:r w:rsidR="00496610" w:rsidRPr="00DB2443">
        <w:t>, 2013, p. 44</w:t>
      </w:r>
      <w:r w:rsidR="008867E5" w:rsidRPr="00DB2443">
        <w:t>)</w:t>
      </w:r>
      <w:r w:rsidR="008867E5">
        <w:t xml:space="preserve"> And what would consensus look like? Does consensus mean all the scientific experts agree on a singular cause of climate change? What if scientific experts all agree that there are multiple causes of climate change? Isn’t that also consensus? Consensus is such a nebulous concept that waiting for consensus is counterproductive. Hence, c</w:t>
      </w:r>
      <w:r w:rsidR="00496610">
        <w:t xml:space="preserve">limate change consensus is not needed in order to take action against climate change. </w:t>
      </w:r>
      <w:r w:rsidR="001A22DF">
        <w:t xml:space="preserve">Waiting to take action until a consensus is reached is wasting time. </w:t>
      </w:r>
      <w:r w:rsidR="007D5954">
        <w:t>“</w:t>
      </w:r>
      <w:r w:rsidR="008867E5">
        <w:t xml:space="preserve">The focus on consensus becomes instead a distraction </w:t>
      </w:r>
      <w:r w:rsidR="00496610" w:rsidRPr="00B25A38">
        <w:t>from more urgent matters of knowledge, values, policy framing and public engagement.</w:t>
      </w:r>
      <w:r w:rsidR="007D5954">
        <w:t>”</w:t>
      </w:r>
      <w:r w:rsidR="00496610" w:rsidRPr="00B25A38">
        <w:t xml:space="preserve"> (</w:t>
      </w:r>
      <w:r w:rsidR="00496610" w:rsidRPr="00DB2443">
        <w:t>Pearce et al., 2017, p. 723)</w:t>
      </w:r>
      <w:r w:rsidR="00C01439">
        <w:t xml:space="preserve"> </w:t>
      </w:r>
      <w:r w:rsidR="00C03E7A">
        <w:t xml:space="preserve">So rather than waiting for or focusing on consensus, we need to start taking actions and identifying multiple solutions. This approach </w:t>
      </w:r>
      <w:proofErr w:type="spellStart"/>
      <w:r w:rsidR="00C03E7A">
        <w:t>aslo</w:t>
      </w:r>
      <w:proofErr w:type="spellEnd"/>
      <w:r w:rsidR="00C03E7A">
        <w:t xml:space="preserve"> allows for the situation where perhaps a climate change contributor is eventually determined to not be as significant as previously believed. By not trying to create consensus for a single cause and solution, we avoid that particular scenario</w:t>
      </w:r>
      <w:r w:rsidR="00D82416">
        <w:t>.</w:t>
      </w:r>
    </w:p>
    <w:p w14:paraId="53FE718A" w14:textId="4016D27E" w:rsidR="0002514D" w:rsidRPr="00C66754" w:rsidRDefault="008867E5" w:rsidP="0002514D">
      <w:pPr>
        <w:snapToGrid/>
        <w:spacing w:line="480" w:lineRule="auto"/>
        <w:ind w:firstLine="720"/>
      </w:pPr>
      <w:r>
        <w:t>Another way to look at</w:t>
      </w:r>
      <w:r w:rsidR="005D4FE0" w:rsidRPr="00CF3C35">
        <w:t xml:space="preserve"> uncertainty </w:t>
      </w:r>
      <w:r>
        <w:t>is that it</w:t>
      </w:r>
      <w:r w:rsidR="005D4FE0" w:rsidRPr="00CF3C35">
        <w:t xml:space="preserve"> show</w:t>
      </w:r>
      <w:r>
        <w:t>s</w:t>
      </w:r>
      <w:r w:rsidR="005D4FE0" w:rsidRPr="00CF3C35">
        <w:t xml:space="preserve"> that scientist</w:t>
      </w:r>
      <w:r>
        <w:t>s</w:t>
      </w:r>
      <w:r w:rsidR="005D4FE0" w:rsidRPr="00CF3C35">
        <w:t xml:space="preserve"> are not infallible and we can still make decisions and polices without having 100% of the answers. (</w:t>
      </w:r>
      <w:proofErr w:type="spellStart"/>
      <w:r w:rsidR="005D4FE0" w:rsidRPr="00FA0765">
        <w:t>d’Apollonia</w:t>
      </w:r>
      <w:proofErr w:type="spellEnd"/>
      <w:r w:rsidR="005D4FE0" w:rsidRPr="00FA0765">
        <w:t>, 2013, p. 41</w:t>
      </w:r>
      <w:r w:rsidR="005D4FE0" w:rsidRPr="00CF3C35">
        <w:t>)</w:t>
      </w:r>
      <w:r w:rsidR="00C01439">
        <w:t xml:space="preserve"> In fact, the existence of controversy is actually beneficial to the effort and should not stop actions on climate change</w:t>
      </w:r>
      <w:r w:rsidR="00C01439" w:rsidRPr="00242B2D">
        <w:t xml:space="preserve">. </w:t>
      </w:r>
      <w:r w:rsidR="007D5954">
        <w:t>“</w:t>
      </w:r>
      <w:r w:rsidR="00242B2D" w:rsidRPr="00242B2D">
        <w:t>If there still exists</w:t>
      </w:r>
      <w:r w:rsidR="0002514D" w:rsidRPr="00242B2D">
        <w:t xml:space="preserve"> substantial uncertainties surrounding both the direct empirical evidence for warming and the theoretical understanding of the overal</w:t>
      </w:r>
      <w:r w:rsidR="00242B2D" w:rsidRPr="00242B2D">
        <w:t>l climate system, those uncertainties work both ways.</w:t>
      </w:r>
      <w:r w:rsidR="007D5954">
        <w:t>”</w:t>
      </w:r>
      <w:r w:rsidR="0002514D" w:rsidRPr="00242B2D">
        <w:t xml:space="preserve"> (</w:t>
      </w:r>
      <w:proofErr w:type="spellStart"/>
      <w:r w:rsidR="0002514D" w:rsidRPr="00242B2D">
        <w:t>Mesarovic</w:t>
      </w:r>
      <w:proofErr w:type="spellEnd"/>
      <w:r w:rsidR="0002514D" w:rsidRPr="00242B2D">
        <w:t>, 2015, p. S269)</w:t>
      </w:r>
      <w:r w:rsidR="00242B2D">
        <w:t xml:space="preserve"> </w:t>
      </w:r>
      <w:r w:rsidR="00BE6202">
        <w:t xml:space="preserve">One could argue that climate change consequences could be worse than expected, not less. Hence why not start taking action now? It is much more beneficial to take action now and perhaps find out that action </w:t>
      </w:r>
      <w:r w:rsidR="00BE6202">
        <w:lastRenderedPageBreak/>
        <w:t>wasn’t needed then to not take action only to find out too late that actions were needed. One could argue that w</w:t>
      </w:r>
      <w:r w:rsidR="00BE6202" w:rsidRPr="00355449">
        <w:t>ith or without compelling evidence of human responsibility, it’s surely far from being a poor choice to reduce our carbon emissions. (</w:t>
      </w:r>
      <w:proofErr w:type="spellStart"/>
      <w:r w:rsidR="00BE6202" w:rsidRPr="001A2723">
        <w:t>d’Apollonia</w:t>
      </w:r>
      <w:proofErr w:type="spellEnd"/>
      <w:r w:rsidR="00BE6202" w:rsidRPr="00355449">
        <w:t>, 2013, p. 44)</w:t>
      </w:r>
      <w:r w:rsidR="00BE6202">
        <w:t>.</w:t>
      </w:r>
    </w:p>
    <w:p w14:paraId="290C3A4B" w14:textId="1B5AF6A4" w:rsidR="00C01439" w:rsidRDefault="00BE6202" w:rsidP="00C01439">
      <w:pPr>
        <w:snapToGrid/>
        <w:spacing w:line="480" w:lineRule="auto"/>
        <w:ind w:firstLine="720"/>
      </w:pPr>
      <w:r>
        <w:t>Furthermore</w:t>
      </w:r>
      <w:r w:rsidR="00C01439">
        <w:t xml:space="preserve">, scientific consensus does not equate to policy making. Even with scientific consensus, there are still other factors involved in creating policies including political, cultural, economic and other factors. </w:t>
      </w:r>
      <w:r>
        <w:t>In addition,</w:t>
      </w:r>
      <w:r w:rsidR="00C01439">
        <w:t xml:space="preserve"> consensus does necessarily tell us the solution.</w:t>
      </w:r>
      <w:r>
        <w:t xml:space="preserve"> Consensus on the cause does not necessarily tell us what to do.</w:t>
      </w:r>
      <w:r w:rsidR="00C01439">
        <w:t xml:space="preserve"> Even if </w:t>
      </w:r>
      <w:r w:rsidR="00280C32">
        <w:t>all the experts</w:t>
      </w:r>
      <w:r w:rsidR="00C01439">
        <w:t xml:space="preserve"> agree that greenhouse gases are the main contributor to climate change, there are any number of possible approaches or solutions. Instead we should focus on the </w:t>
      </w:r>
      <w:r w:rsidR="00C01439" w:rsidRPr="00BA63D5">
        <w:t>practical challenges that highlight the need to negotiate between different scales of concern and action rather than box them into a linear relationship between scientific consensus and political action. (Pearce et al., p. 727)</w:t>
      </w:r>
    </w:p>
    <w:p w14:paraId="699C2A3D" w14:textId="105A525A" w:rsidR="006E5FBC" w:rsidRDefault="006E5FBC" w:rsidP="00041E62">
      <w:pPr>
        <w:spacing w:line="480" w:lineRule="auto"/>
        <w:ind w:firstLine="720"/>
      </w:pPr>
      <w:r>
        <w:t>First part of my solution is to continue the work proposed by the Paris Agr</w:t>
      </w:r>
      <w:r w:rsidR="00041E62">
        <w:t xml:space="preserve">eement of 2015. This agreement </w:t>
      </w:r>
      <w:r>
        <w:t>aims to strengthen the global response to the threat of climate change by limiting the increase in global temperature</w:t>
      </w:r>
      <w:r w:rsidR="00041E62">
        <w:t xml:space="preserve"> by limiting greenhouse gas emissions</w:t>
      </w:r>
      <w:r>
        <w:t>.</w:t>
      </w:r>
      <w:r w:rsidR="00F42504">
        <w:t xml:space="preserve"> </w:t>
      </w:r>
      <w:r>
        <w:t>(</w:t>
      </w:r>
      <w:r w:rsidRPr="00CE1EA3">
        <w:t xml:space="preserve">United Nations Climate Control, 2020, </w:t>
      </w:r>
      <w:r>
        <w:t xml:space="preserve">para. 2) </w:t>
      </w:r>
      <w:r w:rsidR="00041E62">
        <w:t>One benefit of the Paris Agreement is the request for each country to put forth their best efforts through “nationally determined contributions” which allows for differing resource, technology, and cultural aspects. (</w:t>
      </w:r>
      <w:r w:rsidR="00041E62" w:rsidRPr="00CE1EA3">
        <w:t>United Nations Climate Control, 2020, para. 3</w:t>
      </w:r>
      <w:r w:rsidR="00041E62">
        <w:t xml:space="preserve">) </w:t>
      </w:r>
      <w:r>
        <w:t xml:space="preserve">The agreement also </w:t>
      </w:r>
      <w:r w:rsidR="00C64D82">
        <w:t>lists facets</w:t>
      </w:r>
      <w:r>
        <w:t xml:space="preserve"> including allowing each nation to determine their own contributions plus an every-five-year progress report. </w:t>
      </w:r>
      <w:r w:rsidRPr="00CE1EA3">
        <w:t>(</w:t>
      </w:r>
      <w:r w:rsidRPr="00DB2443">
        <w:t>United Nations Climate Control, 2020, para. 3) As part of this solution the United States mus</w:t>
      </w:r>
      <w:r>
        <w:t xml:space="preserve">t rejoin the Paris Agreement (which it left in June 2017). The United States is one of the most industrialized countries in the world and their lack of participation in the Paris Agreement weakens the agreement and proposed </w:t>
      </w:r>
      <w:r>
        <w:lastRenderedPageBreak/>
        <w:t xml:space="preserve">effects, especially when the United States has not implemented any new climate change policies since June 2017. </w:t>
      </w:r>
      <w:r w:rsidR="00041E62">
        <w:t>A subset to this</w:t>
      </w:r>
      <w:r>
        <w:t xml:space="preserve"> solution is to focus more </w:t>
      </w:r>
      <w:r w:rsidR="00C64D82">
        <w:t>obligations</w:t>
      </w:r>
      <w:r>
        <w:t xml:space="preserve"> on those countries that have both the larger contribution to climate change and also the resources (money, technology, and culture) to address the issues. </w:t>
      </w:r>
      <w:r w:rsidRPr="00C64D82">
        <w:t>This approach</w:t>
      </w:r>
      <w:r>
        <w:t xml:space="preserve"> balances the requirements and actions to help ensure that smaller, less-developed countries are not unfairly burdened with climate change requirements.</w:t>
      </w:r>
    </w:p>
    <w:p w14:paraId="118C6D43" w14:textId="67ECADA9" w:rsidR="00C01439" w:rsidRDefault="00C01439" w:rsidP="00C01439">
      <w:pPr>
        <w:spacing w:line="480" w:lineRule="auto"/>
        <w:ind w:firstLine="720"/>
      </w:pPr>
      <w:r>
        <w:t xml:space="preserve">But reduction in </w:t>
      </w:r>
      <w:r w:rsidR="00B31E13">
        <w:t>greenhouse gas</w:t>
      </w:r>
      <w:r>
        <w:t xml:space="preserve"> emissions is only one potential cause of climate change. Even if it is determined that </w:t>
      </w:r>
      <w:r w:rsidR="00B31E13">
        <w:t xml:space="preserve">greenhouse gas </w:t>
      </w:r>
      <w:r>
        <w:t xml:space="preserve">emissions are the most detrimental and influential cause of climate change, there are many other </w:t>
      </w:r>
      <w:r w:rsidR="00B31E13">
        <w:t>contributors</w:t>
      </w:r>
      <w:r>
        <w:t xml:space="preserve"> that could also be counteracted by a </w:t>
      </w:r>
      <w:proofErr w:type="spellStart"/>
      <w:r>
        <w:t>sytemized</w:t>
      </w:r>
      <w:proofErr w:type="spellEnd"/>
      <w:r>
        <w:t xml:space="preserve">, global approach. Examples of these other </w:t>
      </w:r>
      <w:r w:rsidR="00B31E13">
        <w:t xml:space="preserve">contributors </w:t>
      </w:r>
      <w:r>
        <w:t xml:space="preserve">include reliance on fossil fuel, oil drilling, destruction of rain forests and other nature issues, water pollution, etc. </w:t>
      </w:r>
      <w:r w:rsidR="00B31E13">
        <w:t xml:space="preserve">The solution should not have so narrow a focus that it ignores these other contributors. </w:t>
      </w:r>
      <w:r>
        <w:t xml:space="preserve">Addressing these </w:t>
      </w:r>
      <w:r w:rsidR="00B31E13">
        <w:t>contributors must</w:t>
      </w:r>
      <w:r>
        <w:t xml:space="preserve"> be part of the climate change approach and solution. </w:t>
      </w:r>
    </w:p>
    <w:p w14:paraId="63ACE659" w14:textId="1318E038" w:rsidR="00041E62" w:rsidRDefault="00041E62" w:rsidP="00DE7924">
      <w:pPr>
        <w:spacing w:line="480" w:lineRule="auto"/>
        <w:ind w:firstLine="720"/>
      </w:pPr>
      <w:r>
        <w:t xml:space="preserve">The </w:t>
      </w:r>
      <w:r w:rsidR="00B31E13">
        <w:t>second</w:t>
      </w:r>
      <w:r>
        <w:t xml:space="preserve"> part of my solution is less-globalized</w:t>
      </w:r>
      <w:r w:rsidR="000C2075">
        <w:t xml:space="preserve"> and</w:t>
      </w:r>
      <w:r>
        <w:t xml:space="preserve"> more</w:t>
      </w:r>
      <w:r w:rsidR="000C2075">
        <w:t xml:space="preserve"> a</w:t>
      </w:r>
      <w:r>
        <w:t xml:space="preserve"> lower-level or ‘grass roots’ approach. We need to identify multiple solutions</w:t>
      </w:r>
      <w:r w:rsidR="00DE7924">
        <w:t xml:space="preserve"> and start actions</w:t>
      </w:r>
      <w:r>
        <w:t xml:space="preserve"> that can be implemented at the region, state, city</w:t>
      </w:r>
      <w:r w:rsidR="00B31E13">
        <w:t xml:space="preserve">, </w:t>
      </w:r>
      <w:r w:rsidR="000C2075">
        <w:t xml:space="preserve">and, most importantly, the </w:t>
      </w:r>
      <w:r w:rsidR="00B31E13">
        <w:t xml:space="preserve">individual </w:t>
      </w:r>
      <w:r>
        <w:t xml:space="preserve">level. This lower-level approach allows for a ‘bottom up” approach. Even though climate change is a global issue, </w:t>
      </w:r>
      <w:r w:rsidR="00B31E13">
        <w:t xml:space="preserve">that does </w:t>
      </w:r>
      <w:r w:rsidR="00DE7924">
        <w:t xml:space="preserve">not </w:t>
      </w:r>
      <w:r w:rsidR="00B31E13">
        <w:t xml:space="preserve">correlate to the solutions must </w:t>
      </w:r>
      <w:r w:rsidR="000C2075">
        <w:t xml:space="preserve">all </w:t>
      </w:r>
      <w:r w:rsidR="00B31E13">
        <w:t>be on a global scale. Q</w:t>
      </w:r>
      <w:r>
        <w:t xml:space="preserve">uite a bit can be accomplished at the lower or individual level. </w:t>
      </w:r>
      <w:r w:rsidR="00DE7924">
        <w:t>“A</w:t>
      </w:r>
      <w:r w:rsidR="00DE7924" w:rsidRPr="00857A79">
        <w:t>wareness and concern about climate change can be translated into</w:t>
      </w:r>
      <w:r w:rsidR="00DE7924">
        <w:t xml:space="preserve"> </w:t>
      </w:r>
      <w:r w:rsidR="00DE7924" w:rsidRPr="00857A79">
        <w:t>personal engagement as an action</w:t>
      </w:r>
      <w:r w:rsidR="00DE7924">
        <w:t>.” (</w:t>
      </w:r>
      <w:r w:rsidR="00DE7924" w:rsidRPr="00857A79">
        <w:t>Kwon et al., 2019, p. 183</w:t>
      </w:r>
      <w:r w:rsidR="00DE7924">
        <w:t xml:space="preserve">4) In fact, the more involved individuals are in climate change actions, the more this can translate into larger national or global actions. Rather than seeing climate change as strictly a global problem, we must realize that </w:t>
      </w:r>
      <w:r w:rsidR="00DE7924">
        <w:lastRenderedPageBreak/>
        <w:t>implementing local policies and actions can be just as beneficial and important to the overall climate change approach. As discovered in a recent study, “the</w:t>
      </w:r>
      <w:r w:rsidR="00DE7924" w:rsidRPr="00857A79">
        <w:t xml:space="preserve"> success of climate change policies does not depend fully on international organizations and central</w:t>
      </w:r>
      <w:r w:rsidR="00DE7924">
        <w:t xml:space="preserve"> </w:t>
      </w:r>
      <w:r w:rsidR="00DE7924" w:rsidRPr="00857A79">
        <w:t>or local governments. Individuals who personally take action on climate change are key agents as</w:t>
      </w:r>
      <w:r w:rsidR="00DE7924">
        <w:t xml:space="preserve"> </w:t>
      </w:r>
      <w:r w:rsidR="00DE7924" w:rsidRPr="00857A79">
        <w:t>well.</w:t>
      </w:r>
      <w:r w:rsidR="00DE7924">
        <w:t>”</w:t>
      </w:r>
      <w:r w:rsidR="00DE7924" w:rsidRPr="00857A79">
        <w:t xml:space="preserve"> </w:t>
      </w:r>
      <w:r w:rsidR="00DE7924">
        <w:t>(</w:t>
      </w:r>
      <w:r w:rsidR="00DE7924" w:rsidRPr="00857A79">
        <w:t>Kwon et al., 2019, p. 183</w:t>
      </w:r>
      <w:r w:rsidR="00DE7924">
        <w:t xml:space="preserve">4) We need to </w:t>
      </w:r>
      <w:r w:rsidR="000C2075">
        <w:t xml:space="preserve">address the question; </w:t>
      </w:r>
      <w:r w:rsidR="00DE7924">
        <w:t>i</w:t>
      </w:r>
      <w:r>
        <w:t xml:space="preserve">f climate change is a global issue than what can one person do? </w:t>
      </w:r>
      <w:r w:rsidR="00504A0E">
        <w:t>For many people, t</w:t>
      </w:r>
      <w:r w:rsidR="00504A0E" w:rsidRPr="00857A79">
        <w:t>he size of the problem of climate change feels wholly unmatched to the size of our individual actions. (</w:t>
      </w:r>
      <w:r w:rsidR="00504A0E">
        <w:t xml:space="preserve">Salomon, et al., 2017, p. </w:t>
      </w:r>
      <w:r w:rsidR="00504A0E" w:rsidRPr="00857A79">
        <w:t>16</w:t>
      </w:r>
      <w:r w:rsidR="00504A0E">
        <w:t xml:space="preserve">) </w:t>
      </w:r>
      <w:r>
        <w:t>Yet if every person took action against climate change and took action to preserve the earth, the collective</w:t>
      </w:r>
      <w:r w:rsidR="00BE32E2">
        <w:t xml:space="preserve"> and cumulative</w:t>
      </w:r>
      <w:r>
        <w:t xml:space="preserve"> result would undoubtedly be impressive. </w:t>
      </w:r>
      <w:r w:rsidR="000C2075">
        <w:t xml:space="preserve">Take for example, plastic water bottles. That seems like a small item. But if everyone who currently used bottled water not only recycled all the plastic bottles but also reduced the number of bottles they purchase by half, that is significant in the overall number of plastic bottles </w:t>
      </w:r>
      <w:r w:rsidR="00665AAE">
        <w:t xml:space="preserve">available in landfills and oceans. </w:t>
      </w:r>
    </w:p>
    <w:p w14:paraId="0510897B" w14:textId="1605C549" w:rsidR="006577F7" w:rsidRDefault="006E5FBC" w:rsidP="006E5FBC">
      <w:pPr>
        <w:spacing w:line="480" w:lineRule="auto"/>
        <w:ind w:firstLine="720"/>
      </w:pPr>
      <w:r>
        <w:t>In conclusion, an issue as complex as climate change should not require consensus</w:t>
      </w:r>
      <w:r w:rsidR="00DB2443">
        <w:t xml:space="preserve"> nor certainty on the cause</w:t>
      </w:r>
      <w:r>
        <w:t xml:space="preserve">. In the time it takes to obtain consensus we could have taken multiple actions on climate change. </w:t>
      </w:r>
      <w:r w:rsidR="006577F7">
        <w:t xml:space="preserve">And consensus does not necessarily equate to policy making or actions. </w:t>
      </w:r>
      <w:r>
        <w:t xml:space="preserve">Steps to address climate change and protect the earth can still happen without a consensus on the causes of climate change. Instead of spending time and resources to obtain consensus on the causes on climate change, focus needs to be on the continued implementation of current policies such as the Paris Agreement. A global approach enables a cohesive plan for combating climate change. But cohesive plan does not mean that every nation is doing the same thing. </w:t>
      </w:r>
      <w:r w:rsidR="00DB2443">
        <w:t xml:space="preserve">In addition, each person should be taking steps to help offset climate change. Every action </w:t>
      </w:r>
      <w:r w:rsidR="00DB2443">
        <w:lastRenderedPageBreak/>
        <w:t xml:space="preserve">that reduces waste, reduces greenhouse gas emissions, protects oceans, stops pollution, etc. is a step towards offsetting climate change and preserving the earth. </w:t>
      </w:r>
    </w:p>
    <w:p w14:paraId="24B26377" w14:textId="77777777" w:rsidR="00A44C4B" w:rsidRPr="002B10C0" w:rsidRDefault="00A44C4B" w:rsidP="002B10C0">
      <w:pPr>
        <w:spacing w:line="480" w:lineRule="auto"/>
        <w:ind w:firstLine="720"/>
      </w:pPr>
    </w:p>
    <w:p w14:paraId="31B83B9F" w14:textId="0CEE1543" w:rsidR="00065553" w:rsidRPr="00850D15" w:rsidRDefault="703F3F50" w:rsidP="002D3161">
      <w:pPr>
        <w:pageBreakBefore/>
        <w:snapToGrid/>
        <w:spacing w:line="480" w:lineRule="auto"/>
        <w:jc w:val="center"/>
        <w:rPr>
          <w:b/>
          <w:bCs/>
        </w:rPr>
      </w:pPr>
      <w:r w:rsidRPr="00850D15">
        <w:rPr>
          <w:b/>
          <w:bCs/>
        </w:rPr>
        <w:lastRenderedPageBreak/>
        <w:t>References</w:t>
      </w:r>
    </w:p>
    <w:p w14:paraId="4CD87281" w14:textId="77777777" w:rsidR="006E5FBC" w:rsidRPr="009651A0" w:rsidRDefault="006E5FBC" w:rsidP="004F3542">
      <w:pPr>
        <w:spacing w:before="100" w:beforeAutospacing="1" w:after="100" w:afterAutospacing="1" w:line="480" w:lineRule="auto"/>
        <w:ind w:left="720" w:hanging="720"/>
        <w:rPr>
          <w:rStyle w:val="Hyperlink"/>
        </w:rPr>
      </w:pPr>
      <w:proofErr w:type="spellStart"/>
      <w:r w:rsidRPr="009651A0">
        <w:t>d’Apollonia</w:t>
      </w:r>
      <w:proofErr w:type="spellEnd"/>
      <w:r w:rsidRPr="009651A0">
        <w:t xml:space="preserve">, L. S. (2013). Global warming controversy: A trojan horse of modernity. </w:t>
      </w:r>
      <w:r w:rsidRPr="009651A0">
        <w:rPr>
          <w:i/>
          <w:iCs/>
        </w:rPr>
        <w:t>International Journal of Science in Society</w:t>
      </w:r>
      <w:r w:rsidRPr="009651A0">
        <w:t xml:space="preserve">, </w:t>
      </w:r>
      <w:r w:rsidRPr="009651A0">
        <w:rPr>
          <w:i/>
          <w:iCs/>
        </w:rPr>
        <w:t>4</w:t>
      </w:r>
      <w:r w:rsidRPr="009651A0">
        <w:t xml:space="preserve">(4), 41–50. </w:t>
      </w:r>
      <w:hyperlink r:id="rId16" w:history="1">
        <w:r w:rsidRPr="009651A0">
          <w:rPr>
            <w:rStyle w:val="Hyperlink"/>
          </w:rPr>
          <w:t>https://doi-org.proxy-library.ashford.edu/10.18848/1836-6236/CGP/v04i04/51405</w:t>
        </w:r>
      </w:hyperlink>
    </w:p>
    <w:p w14:paraId="63ECD6C8" w14:textId="743CB377" w:rsidR="0074187E" w:rsidRPr="009651A0" w:rsidRDefault="0074187E" w:rsidP="004F3542">
      <w:pPr>
        <w:spacing w:before="100" w:beforeAutospacing="1" w:after="100" w:afterAutospacing="1" w:line="480" w:lineRule="auto"/>
        <w:ind w:left="720" w:hanging="720"/>
      </w:pPr>
      <w:proofErr w:type="spellStart"/>
      <w:r w:rsidRPr="009651A0">
        <w:t>Baumer</w:t>
      </w:r>
      <w:proofErr w:type="spellEnd"/>
      <w:r w:rsidRPr="009651A0">
        <w:t xml:space="preserve">, E. P. S., </w:t>
      </w:r>
      <w:proofErr w:type="spellStart"/>
      <w:r w:rsidRPr="009651A0">
        <w:t>Polletta</w:t>
      </w:r>
      <w:proofErr w:type="spellEnd"/>
      <w:r w:rsidRPr="009651A0">
        <w:t xml:space="preserve">, F., </w:t>
      </w:r>
      <w:proofErr w:type="spellStart"/>
      <w:r w:rsidRPr="009651A0">
        <w:t>Piers</w:t>
      </w:r>
      <w:r w:rsidR="006B6B79" w:rsidRPr="009651A0">
        <w:t>ki</w:t>
      </w:r>
      <w:proofErr w:type="spellEnd"/>
      <w:r w:rsidR="006B6B79" w:rsidRPr="009651A0">
        <w:t>, N., &amp; Gay, G. K. (2017). A simple i</w:t>
      </w:r>
      <w:r w:rsidRPr="009651A0">
        <w:t xml:space="preserve">ntervention to </w:t>
      </w:r>
      <w:r w:rsidR="006B6B79" w:rsidRPr="009651A0">
        <w:t>reduce framing e</w:t>
      </w:r>
      <w:r w:rsidRPr="009651A0">
        <w:t xml:space="preserve">ffects </w:t>
      </w:r>
      <w:r w:rsidR="006B6B79" w:rsidRPr="009651A0">
        <w:t>in perceptions of global climate c</w:t>
      </w:r>
      <w:r w:rsidRPr="009651A0">
        <w:t xml:space="preserve">hange. </w:t>
      </w:r>
      <w:r w:rsidRPr="009651A0">
        <w:rPr>
          <w:i/>
          <w:iCs/>
        </w:rPr>
        <w:t>Environmental Communication</w:t>
      </w:r>
      <w:r w:rsidRPr="009651A0">
        <w:t xml:space="preserve">, </w:t>
      </w:r>
      <w:r w:rsidRPr="009651A0">
        <w:rPr>
          <w:i/>
          <w:iCs/>
        </w:rPr>
        <w:t>11</w:t>
      </w:r>
      <w:r w:rsidRPr="009651A0">
        <w:t xml:space="preserve">(3), 289–310. </w:t>
      </w:r>
      <w:hyperlink r:id="rId17" w:history="1">
        <w:r w:rsidRPr="009651A0">
          <w:rPr>
            <w:rStyle w:val="Hyperlink"/>
          </w:rPr>
          <w:t>https://doi-org.proxy-library.ashford.edu/10.1080/17524032.2015.1084015</w:t>
        </w:r>
      </w:hyperlink>
    </w:p>
    <w:p w14:paraId="5247F1E0" w14:textId="4CA0775A" w:rsidR="0074187E" w:rsidRPr="009651A0" w:rsidRDefault="0074187E" w:rsidP="004F3542">
      <w:pPr>
        <w:spacing w:before="100" w:beforeAutospacing="1" w:after="100" w:afterAutospacing="1" w:line="480" w:lineRule="auto"/>
        <w:ind w:left="720" w:hanging="720"/>
      </w:pPr>
      <w:proofErr w:type="spellStart"/>
      <w:r w:rsidRPr="009651A0">
        <w:t>Flusberg</w:t>
      </w:r>
      <w:proofErr w:type="spellEnd"/>
      <w:r w:rsidRPr="009651A0">
        <w:t>, S. J., Matlock, T., &amp; Thibodeau, P. H. (2017). Me</w:t>
      </w:r>
      <w:r w:rsidR="006B6B79" w:rsidRPr="009651A0">
        <w:t>taphors for the w</w:t>
      </w:r>
      <w:r w:rsidRPr="009651A0">
        <w:t xml:space="preserve">ar (or </w:t>
      </w:r>
      <w:r w:rsidR="006B6B79" w:rsidRPr="009651A0">
        <w:t>race) against climate c</w:t>
      </w:r>
      <w:r w:rsidRPr="009651A0">
        <w:t xml:space="preserve">hange. </w:t>
      </w:r>
      <w:r w:rsidRPr="009651A0">
        <w:rPr>
          <w:i/>
          <w:iCs/>
        </w:rPr>
        <w:t>Environmental Communication</w:t>
      </w:r>
      <w:r w:rsidRPr="009651A0">
        <w:t xml:space="preserve">, </w:t>
      </w:r>
      <w:r w:rsidRPr="009651A0">
        <w:rPr>
          <w:i/>
          <w:iCs/>
        </w:rPr>
        <w:t>11</w:t>
      </w:r>
      <w:r w:rsidRPr="009651A0">
        <w:t xml:space="preserve">(6), 769–783. </w:t>
      </w:r>
      <w:hyperlink r:id="rId18" w:history="1">
        <w:r w:rsidRPr="009651A0">
          <w:rPr>
            <w:rStyle w:val="Hyperlink"/>
          </w:rPr>
          <w:t>https://doi-org.proxy-library.ashford.edu/10.1080/17524032.2017.1289111</w:t>
        </w:r>
      </w:hyperlink>
      <w:r w:rsidRPr="009651A0">
        <w:t xml:space="preserve"> </w:t>
      </w:r>
    </w:p>
    <w:p w14:paraId="65A951BD" w14:textId="449EA9DC" w:rsidR="004F3542" w:rsidRPr="00857A79" w:rsidRDefault="004F3542" w:rsidP="004F3542">
      <w:pPr>
        <w:spacing w:before="100" w:beforeAutospacing="1" w:after="100" w:afterAutospacing="1" w:line="480" w:lineRule="auto"/>
        <w:ind w:left="720" w:hanging="720"/>
      </w:pPr>
      <w:r w:rsidRPr="00857A79">
        <w:t>Kwon,</w:t>
      </w:r>
      <w:r>
        <w:t xml:space="preserve"> S</w:t>
      </w:r>
      <w:r w:rsidRPr="00857A79">
        <w:t>-A</w:t>
      </w:r>
      <w:r>
        <w:t>.,</w:t>
      </w:r>
      <w:r w:rsidRPr="00857A79">
        <w:t xml:space="preserve"> Kim, </w:t>
      </w:r>
      <w:r>
        <w:t xml:space="preserve">S., </w:t>
      </w:r>
      <w:r w:rsidRPr="00857A79">
        <w:t xml:space="preserve">&amp; </w:t>
      </w:r>
      <w:r>
        <w:t>Lee, J.E. (2019). Analyzing the determinants of individual action on climate change by s</w:t>
      </w:r>
      <w:r w:rsidRPr="00857A79">
        <w:t xml:space="preserve">pecifying the </w:t>
      </w:r>
      <w:r>
        <w:t>roles of six v</w:t>
      </w:r>
      <w:r w:rsidRPr="00857A79">
        <w:t xml:space="preserve">alues in South Korea. </w:t>
      </w:r>
      <w:r w:rsidRPr="00857A79">
        <w:rPr>
          <w:i/>
          <w:iCs/>
        </w:rPr>
        <w:t>Sustainability</w:t>
      </w:r>
      <w:r w:rsidRPr="00857A79">
        <w:t xml:space="preserve">, </w:t>
      </w:r>
      <w:r w:rsidRPr="00857A79">
        <w:rPr>
          <w:i/>
          <w:iCs/>
        </w:rPr>
        <w:t>7</w:t>
      </w:r>
      <w:r w:rsidRPr="00857A79">
        <w:t xml:space="preserve">, 1834. </w:t>
      </w:r>
      <w:hyperlink r:id="rId19" w:history="1">
        <w:r w:rsidRPr="00857A79">
          <w:rPr>
            <w:rStyle w:val="Hyperlink"/>
          </w:rPr>
          <w:t>https://doi-org.proxy-library.ashford.edu/10.3390/su11071834</w:t>
        </w:r>
      </w:hyperlink>
      <w:r w:rsidRPr="00857A79">
        <w:t xml:space="preserve"> </w:t>
      </w:r>
    </w:p>
    <w:p w14:paraId="63614D4E" w14:textId="6181567E" w:rsidR="0074187E" w:rsidRPr="009651A0" w:rsidRDefault="0074187E" w:rsidP="004F3542">
      <w:pPr>
        <w:spacing w:before="100" w:beforeAutospacing="1" w:after="100" w:afterAutospacing="1" w:line="480" w:lineRule="auto"/>
        <w:ind w:left="720" w:hanging="720"/>
      </w:pPr>
      <w:proofErr w:type="spellStart"/>
      <w:r w:rsidRPr="009651A0">
        <w:t>Mesarovic</w:t>
      </w:r>
      <w:proofErr w:type="spellEnd"/>
      <w:r w:rsidRPr="009651A0">
        <w:t xml:space="preserve">, M. M. (2015). Scientific </w:t>
      </w:r>
      <w:r w:rsidR="006B6B79" w:rsidRPr="009651A0">
        <w:t xml:space="preserve">uncertainties feed </w:t>
      </w:r>
      <w:proofErr w:type="spellStart"/>
      <w:r w:rsidR="006B6B79" w:rsidRPr="009651A0">
        <w:t>scepticism</w:t>
      </w:r>
      <w:proofErr w:type="spellEnd"/>
      <w:r w:rsidR="006B6B79" w:rsidRPr="009651A0">
        <w:t xml:space="preserve"> on climate change</w:t>
      </w:r>
      <w:r w:rsidRPr="009651A0">
        <w:t xml:space="preserve">. </w:t>
      </w:r>
      <w:r w:rsidRPr="009651A0">
        <w:rPr>
          <w:i/>
          <w:iCs/>
        </w:rPr>
        <w:t>Thermal Science</w:t>
      </w:r>
      <w:r w:rsidRPr="009651A0">
        <w:t xml:space="preserve">, </w:t>
      </w:r>
      <w:r w:rsidRPr="009651A0">
        <w:rPr>
          <w:i/>
          <w:iCs/>
        </w:rPr>
        <w:t>19</w:t>
      </w:r>
      <w:r w:rsidRPr="009651A0">
        <w:t xml:space="preserve">, S259–S278. </w:t>
      </w:r>
      <w:hyperlink r:id="rId20" w:history="1">
        <w:r w:rsidRPr="009651A0">
          <w:rPr>
            <w:rStyle w:val="Hyperlink"/>
          </w:rPr>
          <w:t>https://doi-org.proxy-library.ashford.edu/10.2298/TSCI150628194M</w:t>
        </w:r>
      </w:hyperlink>
      <w:r w:rsidRPr="009651A0">
        <w:t xml:space="preserve"> </w:t>
      </w:r>
    </w:p>
    <w:p w14:paraId="26ADA8D0" w14:textId="77777777" w:rsidR="006E5FBC" w:rsidRPr="009651A0" w:rsidRDefault="006E5FBC" w:rsidP="006E5FBC">
      <w:pPr>
        <w:spacing w:before="100" w:beforeAutospacing="1" w:after="100" w:afterAutospacing="1" w:line="480" w:lineRule="auto"/>
        <w:ind w:left="720" w:hanging="720"/>
        <w:rPr>
          <w:rStyle w:val="Hyperlink"/>
        </w:rPr>
      </w:pPr>
      <w:r w:rsidRPr="009651A0">
        <w:lastRenderedPageBreak/>
        <w:t xml:space="preserve">Pearce, W., </w:t>
      </w:r>
      <w:proofErr w:type="spellStart"/>
      <w:r w:rsidRPr="009651A0">
        <w:t>Grundmann</w:t>
      </w:r>
      <w:proofErr w:type="spellEnd"/>
      <w:r w:rsidRPr="009651A0">
        <w:t xml:space="preserve">, R., Hulme, M., Raman, S., Hadley Kershaw, E., &amp; </w:t>
      </w:r>
      <w:proofErr w:type="spellStart"/>
      <w:r w:rsidRPr="009651A0">
        <w:t>Tsouvalis</w:t>
      </w:r>
      <w:proofErr w:type="spellEnd"/>
      <w:r w:rsidRPr="009651A0">
        <w:t xml:space="preserve">, J. (2017). Beyond counting climate consensus. </w:t>
      </w:r>
      <w:r w:rsidRPr="009651A0">
        <w:rPr>
          <w:i/>
          <w:iCs/>
        </w:rPr>
        <w:t>Environmental Communication</w:t>
      </w:r>
      <w:r w:rsidRPr="009651A0">
        <w:t xml:space="preserve">, </w:t>
      </w:r>
      <w:r w:rsidRPr="009651A0">
        <w:rPr>
          <w:i/>
          <w:iCs/>
        </w:rPr>
        <w:t>11</w:t>
      </w:r>
      <w:r w:rsidRPr="009651A0">
        <w:t xml:space="preserve">(6), 723–730. </w:t>
      </w:r>
      <w:hyperlink r:id="rId21" w:history="1">
        <w:r w:rsidRPr="009651A0">
          <w:rPr>
            <w:rStyle w:val="Hyperlink"/>
          </w:rPr>
          <w:t>https://doi-org.proxy-library.ashford.edu/10.1080/17524032.2017.1333965</w:t>
        </w:r>
      </w:hyperlink>
    </w:p>
    <w:p w14:paraId="05EB5A77" w14:textId="4B936157" w:rsidR="00665AAE" w:rsidRDefault="00665AAE" w:rsidP="006E5FBC">
      <w:pPr>
        <w:spacing w:before="100" w:beforeAutospacing="1" w:after="100" w:afterAutospacing="1" w:line="480" w:lineRule="auto"/>
        <w:ind w:left="720" w:hanging="720"/>
      </w:pPr>
      <w:r w:rsidRPr="00857A79">
        <w:t xml:space="preserve">Salomon, E., Preston, J. L., &amp; Tannenbaum, M. B. (2017). Climate change helplessness and the (de)moralization of individual energy behavior. </w:t>
      </w:r>
      <w:r w:rsidRPr="00857A79">
        <w:rPr>
          <w:i/>
          <w:iCs/>
        </w:rPr>
        <w:t>Journal of Experimental Psychology: Applied</w:t>
      </w:r>
      <w:r w:rsidRPr="00857A79">
        <w:t xml:space="preserve">, </w:t>
      </w:r>
      <w:r w:rsidRPr="00857A79">
        <w:rPr>
          <w:i/>
          <w:iCs/>
        </w:rPr>
        <w:t>23</w:t>
      </w:r>
      <w:r w:rsidRPr="00857A79">
        <w:t xml:space="preserve">(1), 15–28. </w:t>
      </w:r>
      <w:hyperlink r:id="rId22" w:history="1">
        <w:r w:rsidRPr="00ED0335">
          <w:rPr>
            <w:rStyle w:val="Hyperlink"/>
          </w:rPr>
          <w:t>https://doi-org.proxy-library.ashford.edu/10.1037/xap0000105.supp</w:t>
        </w:r>
      </w:hyperlink>
      <w:r>
        <w:t xml:space="preserve"> </w:t>
      </w:r>
      <w:r w:rsidRPr="00857A79">
        <w:t xml:space="preserve"> (Supplemental)</w:t>
      </w:r>
    </w:p>
    <w:p w14:paraId="6F320741" w14:textId="30FA36F6" w:rsidR="006E5FBC" w:rsidRDefault="006E5FBC" w:rsidP="006E5FBC">
      <w:pPr>
        <w:spacing w:before="100" w:beforeAutospacing="1" w:after="100" w:afterAutospacing="1" w:line="480" w:lineRule="auto"/>
        <w:ind w:left="720" w:hanging="720"/>
      </w:pPr>
      <w:r w:rsidRPr="009651A0">
        <w:t>United Nations</w:t>
      </w:r>
      <w:r w:rsidRPr="00DB2443">
        <w:t xml:space="preserve"> Framework Convention on Climate Change. (2020) </w:t>
      </w:r>
      <w:r w:rsidRPr="00DB2443">
        <w:rPr>
          <w:i/>
        </w:rPr>
        <w:t>What is the Paris Agreement</w:t>
      </w:r>
      <w:r w:rsidRPr="00DB2443">
        <w:t xml:space="preserve">. </w:t>
      </w:r>
      <w:hyperlink r:id="rId23" w:history="1">
        <w:r w:rsidRPr="00DB2443">
          <w:rPr>
            <w:rStyle w:val="Hyperlink"/>
          </w:rPr>
          <w:t>https://unfccc.int/process-and-meetings/the-paris-agreement/what-is-the-paris-agreement</w:t>
        </w:r>
      </w:hyperlink>
    </w:p>
    <w:p w14:paraId="2444C640" w14:textId="77777777" w:rsidR="0081749E" w:rsidRDefault="0081749E" w:rsidP="00D23EDE">
      <w:pPr>
        <w:spacing w:before="100" w:beforeAutospacing="1" w:after="100" w:afterAutospacing="1" w:line="480" w:lineRule="auto"/>
        <w:ind w:left="720" w:hanging="720"/>
      </w:pPr>
    </w:p>
    <w:sectPr w:rsidR="0081749E" w:rsidSect="009A7E76">
      <w:headerReference w:type="default" r:id="rId24"/>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265A" w14:textId="77777777" w:rsidR="00AB2C84" w:rsidRDefault="00AB2C84">
      <w:r>
        <w:separator/>
      </w:r>
    </w:p>
  </w:endnote>
  <w:endnote w:type="continuationSeparator" w:id="0">
    <w:p w14:paraId="79371334" w14:textId="77777777" w:rsidR="00AB2C84" w:rsidRDefault="00A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OT1ef757c0+20">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F8C9" w14:textId="77777777" w:rsidR="00EA48C4" w:rsidRDefault="00EA48C4" w:rsidP="00510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EC80" w14:textId="77777777" w:rsidR="00AB2C84" w:rsidRDefault="00AB2C84">
      <w:r>
        <w:separator/>
      </w:r>
    </w:p>
  </w:footnote>
  <w:footnote w:type="continuationSeparator" w:id="0">
    <w:p w14:paraId="1E514E64" w14:textId="77777777" w:rsidR="00AB2C84" w:rsidRDefault="00A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D54F" w14:textId="77777777" w:rsidR="00EA48C4" w:rsidRDefault="00EA48C4" w:rsidP="009A7E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62BFE" w14:textId="77777777" w:rsidR="00EA48C4" w:rsidRDefault="00EA48C4" w:rsidP="009A7E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6DEF" w14:textId="1A4F9115" w:rsidR="00EA48C4" w:rsidRDefault="00EA48C4" w:rsidP="00D108B8">
    <w:pPr>
      <w:pStyle w:val="CenteredTextSingleSpace"/>
      <w:tabs>
        <w:tab w:val="right" w:pos="9360"/>
      </w:tabs>
      <w:spacing w:line="480" w:lineRule="auto"/>
      <w:jc w:val="left"/>
    </w:pPr>
    <w:r>
      <w:tab/>
    </w:r>
    <w:r>
      <w:fldChar w:fldCharType="begin"/>
    </w:r>
    <w:r>
      <w:instrText xml:space="preserve"> PAGE   \* MERGEFORMAT </w:instrText>
    </w:r>
    <w:r>
      <w:fldChar w:fldCharType="separate"/>
    </w:r>
    <w:r w:rsidR="00B73B2A">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0298" w14:textId="241A8DCD" w:rsidR="00EA48C4" w:rsidRDefault="00EA48C4" w:rsidP="009A7E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B2A">
      <w:rPr>
        <w:rStyle w:val="PageNumber"/>
        <w:noProof/>
      </w:rPr>
      <w:t>11</w:t>
    </w:r>
    <w:r>
      <w:rPr>
        <w:rStyle w:val="PageNumber"/>
      </w:rPr>
      <w:fldChar w:fldCharType="end"/>
    </w:r>
  </w:p>
  <w:p w14:paraId="2EEB83B8" w14:textId="7C89C38F" w:rsidR="00EA48C4" w:rsidRDefault="00EA48C4" w:rsidP="009A7E76">
    <w:pPr>
      <w:pStyle w:val="CenteredTextSingleSpace"/>
      <w:tabs>
        <w:tab w:val="right" w:pos="9360"/>
      </w:tabs>
      <w:spacing w:line="480" w:lineRule="auto"/>
      <w:ind w:right="360"/>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520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2"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3" w15:restartNumberingAfterBreak="0">
    <w:nsid w:val="1F540CD9"/>
    <w:multiLevelType w:val="hybridMultilevel"/>
    <w:tmpl w:val="0A80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5"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6"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448D12AC"/>
    <w:multiLevelType w:val="hybridMultilevel"/>
    <w:tmpl w:val="6DE6817C"/>
    <w:lvl w:ilvl="0" w:tplc="3A60D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9" w15:restartNumberingAfterBreak="0">
    <w:nsid w:val="4C133B20"/>
    <w:multiLevelType w:val="hybridMultilevel"/>
    <w:tmpl w:val="014C1C9A"/>
    <w:lvl w:ilvl="0" w:tplc="7A187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1"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
  </w:num>
  <w:num w:numId="2">
    <w:abstractNumId w:val="5"/>
  </w:num>
  <w:num w:numId="3">
    <w:abstractNumId w:val="10"/>
  </w:num>
  <w:num w:numId="4">
    <w:abstractNumId w:val="4"/>
  </w:num>
  <w:num w:numId="5">
    <w:abstractNumId w:val="8"/>
  </w:num>
  <w:num w:numId="6">
    <w:abstractNumId w:val="2"/>
  </w:num>
  <w:num w:numId="7">
    <w:abstractNumId w:val="11"/>
  </w:num>
  <w:num w:numId="8">
    <w:abstractNumId w:val="6"/>
  </w:num>
  <w:num w:numId="9">
    <w:abstractNumId w:val="12"/>
  </w:num>
  <w:num w:numId="10">
    <w:abstractNumId w:val="0"/>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xMLE0NzEyNLQ0MrBU0lEKTi0uzszPAykwqgUA0OiZWywAAAA="/>
  </w:docVars>
  <w:rsids>
    <w:rsidRoot w:val="005E249F"/>
    <w:rsid w:val="00001EAA"/>
    <w:rsid w:val="00004250"/>
    <w:rsid w:val="00006140"/>
    <w:rsid w:val="000068F2"/>
    <w:rsid w:val="00010EC9"/>
    <w:rsid w:val="000121A6"/>
    <w:rsid w:val="0001750B"/>
    <w:rsid w:val="00023171"/>
    <w:rsid w:val="0002514D"/>
    <w:rsid w:val="000252F0"/>
    <w:rsid w:val="00026B5A"/>
    <w:rsid w:val="00032001"/>
    <w:rsid w:val="00034A0A"/>
    <w:rsid w:val="00041E62"/>
    <w:rsid w:val="00044712"/>
    <w:rsid w:val="0005127E"/>
    <w:rsid w:val="00051DFF"/>
    <w:rsid w:val="00054B9D"/>
    <w:rsid w:val="0005508E"/>
    <w:rsid w:val="00062979"/>
    <w:rsid w:val="00065553"/>
    <w:rsid w:val="0006785C"/>
    <w:rsid w:val="0007104C"/>
    <w:rsid w:val="000772E8"/>
    <w:rsid w:val="000832A9"/>
    <w:rsid w:val="0008791D"/>
    <w:rsid w:val="00093E6E"/>
    <w:rsid w:val="000A7DD1"/>
    <w:rsid w:val="000B7F3A"/>
    <w:rsid w:val="000C2075"/>
    <w:rsid w:val="000D016C"/>
    <w:rsid w:val="000D183B"/>
    <w:rsid w:val="000D6B2B"/>
    <w:rsid w:val="000E2BF8"/>
    <w:rsid w:val="000E74A0"/>
    <w:rsid w:val="000F298B"/>
    <w:rsid w:val="000F637E"/>
    <w:rsid w:val="00100194"/>
    <w:rsid w:val="00106F4C"/>
    <w:rsid w:val="00120B1D"/>
    <w:rsid w:val="0012333A"/>
    <w:rsid w:val="00135EDE"/>
    <w:rsid w:val="001421AD"/>
    <w:rsid w:val="00142B53"/>
    <w:rsid w:val="00144321"/>
    <w:rsid w:val="001526F5"/>
    <w:rsid w:val="00152C92"/>
    <w:rsid w:val="001554BD"/>
    <w:rsid w:val="00155579"/>
    <w:rsid w:val="00156A72"/>
    <w:rsid w:val="00163608"/>
    <w:rsid w:val="001639B0"/>
    <w:rsid w:val="00165C94"/>
    <w:rsid w:val="00171010"/>
    <w:rsid w:val="00171239"/>
    <w:rsid w:val="001721AB"/>
    <w:rsid w:val="001741B5"/>
    <w:rsid w:val="001843D5"/>
    <w:rsid w:val="0018443C"/>
    <w:rsid w:val="00192DFF"/>
    <w:rsid w:val="001933E4"/>
    <w:rsid w:val="0019718A"/>
    <w:rsid w:val="001A22DF"/>
    <w:rsid w:val="001A43AA"/>
    <w:rsid w:val="001B674E"/>
    <w:rsid w:val="001C6D3A"/>
    <w:rsid w:val="001D073F"/>
    <w:rsid w:val="001D0C03"/>
    <w:rsid w:val="001D0D53"/>
    <w:rsid w:val="001D3937"/>
    <w:rsid w:val="001D6BA5"/>
    <w:rsid w:val="001E09F5"/>
    <w:rsid w:val="001F08DC"/>
    <w:rsid w:val="002007F9"/>
    <w:rsid w:val="00203545"/>
    <w:rsid w:val="002100C2"/>
    <w:rsid w:val="00213027"/>
    <w:rsid w:val="00217585"/>
    <w:rsid w:val="00222E1B"/>
    <w:rsid w:val="00232DA2"/>
    <w:rsid w:val="00233D5C"/>
    <w:rsid w:val="00242B2D"/>
    <w:rsid w:val="002617F4"/>
    <w:rsid w:val="00280C32"/>
    <w:rsid w:val="00280FC7"/>
    <w:rsid w:val="00282AAC"/>
    <w:rsid w:val="00291E76"/>
    <w:rsid w:val="00293027"/>
    <w:rsid w:val="00297BEE"/>
    <w:rsid w:val="002B0B2C"/>
    <w:rsid w:val="002B10C0"/>
    <w:rsid w:val="002B332C"/>
    <w:rsid w:val="002C1BC6"/>
    <w:rsid w:val="002C7558"/>
    <w:rsid w:val="002D3161"/>
    <w:rsid w:val="002E1196"/>
    <w:rsid w:val="002E2367"/>
    <w:rsid w:val="002E3A61"/>
    <w:rsid w:val="002E5E31"/>
    <w:rsid w:val="002E73B3"/>
    <w:rsid w:val="002F5696"/>
    <w:rsid w:val="002F6E77"/>
    <w:rsid w:val="00305193"/>
    <w:rsid w:val="00321BE5"/>
    <w:rsid w:val="003415FB"/>
    <w:rsid w:val="003520CA"/>
    <w:rsid w:val="0036159A"/>
    <w:rsid w:val="00364613"/>
    <w:rsid w:val="00377824"/>
    <w:rsid w:val="003779E3"/>
    <w:rsid w:val="0038055D"/>
    <w:rsid w:val="003876D8"/>
    <w:rsid w:val="003A3260"/>
    <w:rsid w:val="003C6A56"/>
    <w:rsid w:val="003C6C63"/>
    <w:rsid w:val="003C6D75"/>
    <w:rsid w:val="003C7576"/>
    <w:rsid w:val="003D1212"/>
    <w:rsid w:val="003D15F5"/>
    <w:rsid w:val="003D3D1F"/>
    <w:rsid w:val="003F10F7"/>
    <w:rsid w:val="003F2B45"/>
    <w:rsid w:val="00405119"/>
    <w:rsid w:val="00406A7F"/>
    <w:rsid w:val="00412CED"/>
    <w:rsid w:val="00414D3D"/>
    <w:rsid w:val="004166AF"/>
    <w:rsid w:val="00417B62"/>
    <w:rsid w:val="00424790"/>
    <w:rsid w:val="00425148"/>
    <w:rsid w:val="0044134D"/>
    <w:rsid w:val="00442B8F"/>
    <w:rsid w:val="00442CFD"/>
    <w:rsid w:val="004514BF"/>
    <w:rsid w:val="00453D40"/>
    <w:rsid w:val="00455259"/>
    <w:rsid w:val="00465BC2"/>
    <w:rsid w:val="004679E7"/>
    <w:rsid w:val="004734DE"/>
    <w:rsid w:val="00473B91"/>
    <w:rsid w:val="00474D12"/>
    <w:rsid w:val="004750D7"/>
    <w:rsid w:val="00483B79"/>
    <w:rsid w:val="0048459A"/>
    <w:rsid w:val="00493F84"/>
    <w:rsid w:val="00496610"/>
    <w:rsid w:val="004A758B"/>
    <w:rsid w:val="004A78F3"/>
    <w:rsid w:val="004C2D74"/>
    <w:rsid w:val="004C6262"/>
    <w:rsid w:val="004C7F95"/>
    <w:rsid w:val="004D5431"/>
    <w:rsid w:val="004D6EB5"/>
    <w:rsid w:val="004D71F9"/>
    <w:rsid w:val="004D79F6"/>
    <w:rsid w:val="004E0DEC"/>
    <w:rsid w:val="004E595E"/>
    <w:rsid w:val="004E6B08"/>
    <w:rsid w:val="004F1C28"/>
    <w:rsid w:val="004F33E0"/>
    <w:rsid w:val="004F3542"/>
    <w:rsid w:val="004F6AA0"/>
    <w:rsid w:val="0050298C"/>
    <w:rsid w:val="005040FF"/>
    <w:rsid w:val="00504A0E"/>
    <w:rsid w:val="00510964"/>
    <w:rsid w:val="00523380"/>
    <w:rsid w:val="00525724"/>
    <w:rsid w:val="0052593B"/>
    <w:rsid w:val="00525A96"/>
    <w:rsid w:val="00526B79"/>
    <w:rsid w:val="00526C59"/>
    <w:rsid w:val="005312F5"/>
    <w:rsid w:val="005332D8"/>
    <w:rsid w:val="005339A6"/>
    <w:rsid w:val="00533C2F"/>
    <w:rsid w:val="00534EEA"/>
    <w:rsid w:val="00535920"/>
    <w:rsid w:val="005423A8"/>
    <w:rsid w:val="00544A69"/>
    <w:rsid w:val="00551896"/>
    <w:rsid w:val="0055670D"/>
    <w:rsid w:val="0056463F"/>
    <w:rsid w:val="00564B8B"/>
    <w:rsid w:val="00572CA2"/>
    <w:rsid w:val="005737AF"/>
    <w:rsid w:val="005750B8"/>
    <w:rsid w:val="00576B00"/>
    <w:rsid w:val="0058393A"/>
    <w:rsid w:val="0059059A"/>
    <w:rsid w:val="005921D0"/>
    <w:rsid w:val="005B33CE"/>
    <w:rsid w:val="005B57A5"/>
    <w:rsid w:val="005C2C0C"/>
    <w:rsid w:val="005C2EB1"/>
    <w:rsid w:val="005C5994"/>
    <w:rsid w:val="005D2A92"/>
    <w:rsid w:val="005D4672"/>
    <w:rsid w:val="005D4FE0"/>
    <w:rsid w:val="005D5460"/>
    <w:rsid w:val="005E0F86"/>
    <w:rsid w:val="005E0FF7"/>
    <w:rsid w:val="005E249F"/>
    <w:rsid w:val="005F0D93"/>
    <w:rsid w:val="00600DDA"/>
    <w:rsid w:val="00611A77"/>
    <w:rsid w:val="00612505"/>
    <w:rsid w:val="00612ACE"/>
    <w:rsid w:val="006139DF"/>
    <w:rsid w:val="00615D96"/>
    <w:rsid w:val="0063161B"/>
    <w:rsid w:val="0063542F"/>
    <w:rsid w:val="00636421"/>
    <w:rsid w:val="00641F32"/>
    <w:rsid w:val="00646D00"/>
    <w:rsid w:val="00651E8D"/>
    <w:rsid w:val="006577F7"/>
    <w:rsid w:val="006578AC"/>
    <w:rsid w:val="00665AAE"/>
    <w:rsid w:val="00666D73"/>
    <w:rsid w:val="00667A7D"/>
    <w:rsid w:val="00681CF4"/>
    <w:rsid w:val="00683A7C"/>
    <w:rsid w:val="006861BA"/>
    <w:rsid w:val="00690CD6"/>
    <w:rsid w:val="006979DF"/>
    <w:rsid w:val="006A3946"/>
    <w:rsid w:val="006B2055"/>
    <w:rsid w:val="006B6B79"/>
    <w:rsid w:val="006B7E72"/>
    <w:rsid w:val="006D0909"/>
    <w:rsid w:val="006D2CB1"/>
    <w:rsid w:val="006E5FBC"/>
    <w:rsid w:val="006F2268"/>
    <w:rsid w:val="00704B1F"/>
    <w:rsid w:val="00726C6A"/>
    <w:rsid w:val="00741277"/>
    <w:rsid w:val="0074187E"/>
    <w:rsid w:val="0074248B"/>
    <w:rsid w:val="00746664"/>
    <w:rsid w:val="0075104D"/>
    <w:rsid w:val="007625EF"/>
    <w:rsid w:val="00771AB8"/>
    <w:rsid w:val="00773FAE"/>
    <w:rsid w:val="00775A12"/>
    <w:rsid w:val="00776940"/>
    <w:rsid w:val="0078618B"/>
    <w:rsid w:val="0078792C"/>
    <w:rsid w:val="007A06C2"/>
    <w:rsid w:val="007A1CBB"/>
    <w:rsid w:val="007A3542"/>
    <w:rsid w:val="007B4ED6"/>
    <w:rsid w:val="007D0699"/>
    <w:rsid w:val="007D5954"/>
    <w:rsid w:val="007D6FFD"/>
    <w:rsid w:val="007E0B54"/>
    <w:rsid w:val="007E62FC"/>
    <w:rsid w:val="007E744C"/>
    <w:rsid w:val="007E7DBF"/>
    <w:rsid w:val="00800FF5"/>
    <w:rsid w:val="00807510"/>
    <w:rsid w:val="00811F93"/>
    <w:rsid w:val="00812D20"/>
    <w:rsid w:val="008153F3"/>
    <w:rsid w:val="0081749E"/>
    <w:rsid w:val="00820AEC"/>
    <w:rsid w:val="00826FB4"/>
    <w:rsid w:val="00831F8F"/>
    <w:rsid w:val="0083273D"/>
    <w:rsid w:val="00834BAA"/>
    <w:rsid w:val="008362DD"/>
    <w:rsid w:val="00850D15"/>
    <w:rsid w:val="0085401F"/>
    <w:rsid w:val="0086329D"/>
    <w:rsid w:val="008655C4"/>
    <w:rsid w:val="008767D2"/>
    <w:rsid w:val="00883110"/>
    <w:rsid w:val="008867E5"/>
    <w:rsid w:val="00894F92"/>
    <w:rsid w:val="00894FA5"/>
    <w:rsid w:val="008A01FF"/>
    <w:rsid w:val="008A1B25"/>
    <w:rsid w:val="008A1DBC"/>
    <w:rsid w:val="008A35B0"/>
    <w:rsid w:val="008B0B7C"/>
    <w:rsid w:val="008E2AFA"/>
    <w:rsid w:val="008F49BC"/>
    <w:rsid w:val="009026CF"/>
    <w:rsid w:val="009038F6"/>
    <w:rsid w:val="009060CE"/>
    <w:rsid w:val="00911034"/>
    <w:rsid w:val="009136B4"/>
    <w:rsid w:val="00915829"/>
    <w:rsid w:val="009172C1"/>
    <w:rsid w:val="009342EC"/>
    <w:rsid w:val="00941FC0"/>
    <w:rsid w:val="00947EE9"/>
    <w:rsid w:val="00962C7B"/>
    <w:rsid w:val="009651A0"/>
    <w:rsid w:val="00966EB6"/>
    <w:rsid w:val="009707C6"/>
    <w:rsid w:val="00974982"/>
    <w:rsid w:val="009829C0"/>
    <w:rsid w:val="00996789"/>
    <w:rsid w:val="009A04D4"/>
    <w:rsid w:val="009A7E76"/>
    <w:rsid w:val="009B48CE"/>
    <w:rsid w:val="009B6E23"/>
    <w:rsid w:val="009C2C0B"/>
    <w:rsid w:val="009D2FA6"/>
    <w:rsid w:val="009E5419"/>
    <w:rsid w:val="009F3AC8"/>
    <w:rsid w:val="009F5650"/>
    <w:rsid w:val="00A035E5"/>
    <w:rsid w:val="00A0364E"/>
    <w:rsid w:val="00A06416"/>
    <w:rsid w:val="00A064DA"/>
    <w:rsid w:val="00A133F5"/>
    <w:rsid w:val="00A14056"/>
    <w:rsid w:val="00A14E74"/>
    <w:rsid w:val="00A2770E"/>
    <w:rsid w:val="00A334F8"/>
    <w:rsid w:val="00A33FEB"/>
    <w:rsid w:val="00A34C14"/>
    <w:rsid w:val="00A4266C"/>
    <w:rsid w:val="00A44C4B"/>
    <w:rsid w:val="00A5226D"/>
    <w:rsid w:val="00A61480"/>
    <w:rsid w:val="00A63158"/>
    <w:rsid w:val="00A71C63"/>
    <w:rsid w:val="00A807BB"/>
    <w:rsid w:val="00A903A4"/>
    <w:rsid w:val="00A93BA7"/>
    <w:rsid w:val="00A9407C"/>
    <w:rsid w:val="00AA705B"/>
    <w:rsid w:val="00AA746C"/>
    <w:rsid w:val="00AB2C84"/>
    <w:rsid w:val="00AC3E7A"/>
    <w:rsid w:val="00AC4801"/>
    <w:rsid w:val="00AD14EE"/>
    <w:rsid w:val="00AD3E28"/>
    <w:rsid w:val="00AF5C42"/>
    <w:rsid w:val="00AF6F8D"/>
    <w:rsid w:val="00AF79FF"/>
    <w:rsid w:val="00B07132"/>
    <w:rsid w:val="00B13E67"/>
    <w:rsid w:val="00B17701"/>
    <w:rsid w:val="00B210FF"/>
    <w:rsid w:val="00B25D55"/>
    <w:rsid w:val="00B30C0D"/>
    <w:rsid w:val="00B31E13"/>
    <w:rsid w:val="00B3311D"/>
    <w:rsid w:val="00B34FAA"/>
    <w:rsid w:val="00B41F4E"/>
    <w:rsid w:val="00B44D9C"/>
    <w:rsid w:val="00B45C0A"/>
    <w:rsid w:val="00B469E8"/>
    <w:rsid w:val="00B5685E"/>
    <w:rsid w:val="00B57AB4"/>
    <w:rsid w:val="00B64A31"/>
    <w:rsid w:val="00B670D4"/>
    <w:rsid w:val="00B72E2B"/>
    <w:rsid w:val="00B73B2A"/>
    <w:rsid w:val="00B81CE0"/>
    <w:rsid w:val="00B87E65"/>
    <w:rsid w:val="00B92E6A"/>
    <w:rsid w:val="00B949E0"/>
    <w:rsid w:val="00BA084C"/>
    <w:rsid w:val="00BA3D16"/>
    <w:rsid w:val="00BA63D5"/>
    <w:rsid w:val="00BB70A8"/>
    <w:rsid w:val="00BB7140"/>
    <w:rsid w:val="00BC00EE"/>
    <w:rsid w:val="00BC0345"/>
    <w:rsid w:val="00BD1329"/>
    <w:rsid w:val="00BD415D"/>
    <w:rsid w:val="00BD7A29"/>
    <w:rsid w:val="00BE074D"/>
    <w:rsid w:val="00BE32E2"/>
    <w:rsid w:val="00BE6202"/>
    <w:rsid w:val="00BF4634"/>
    <w:rsid w:val="00C008EB"/>
    <w:rsid w:val="00C01439"/>
    <w:rsid w:val="00C03E7A"/>
    <w:rsid w:val="00C1415A"/>
    <w:rsid w:val="00C15F6E"/>
    <w:rsid w:val="00C16B37"/>
    <w:rsid w:val="00C21787"/>
    <w:rsid w:val="00C25B84"/>
    <w:rsid w:val="00C27EAC"/>
    <w:rsid w:val="00C367EE"/>
    <w:rsid w:val="00C433AC"/>
    <w:rsid w:val="00C50C4A"/>
    <w:rsid w:val="00C54F2E"/>
    <w:rsid w:val="00C56C0F"/>
    <w:rsid w:val="00C62805"/>
    <w:rsid w:val="00C630BF"/>
    <w:rsid w:val="00C64D82"/>
    <w:rsid w:val="00C65AC3"/>
    <w:rsid w:val="00C66754"/>
    <w:rsid w:val="00C7162C"/>
    <w:rsid w:val="00C81EA3"/>
    <w:rsid w:val="00CA5FAF"/>
    <w:rsid w:val="00CB05A5"/>
    <w:rsid w:val="00CC3E70"/>
    <w:rsid w:val="00CC3F59"/>
    <w:rsid w:val="00CD24C2"/>
    <w:rsid w:val="00CE5D61"/>
    <w:rsid w:val="00CF1838"/>
    <w:rsid w:val="00CF283B"/>
    <w:rsid w:val="00CF3C35"/>
    <w:rsid w:val="00D05438"/>
    <w:rsid w:val="00D10414"/>
    <w:rsid w:val="00D108B8"/>
    <w:rsid w:val="00D13FFB"/>
    <w:rsid w:val="00D1496A"/>
    <w:rsid w:val="00D16B83"/>
    <w:rsid w:val="00D22AAA"/>
    <w:rsid w:val="00D2304D"/>
    <w:rsid w:val="00D23762"/>
    <w:rsid w:val="00D23EDE"/>
    <w:rsid w:val="00D24770"/>
    <w:rsid w:val="00D33FE8"/>
    <w:rsid w:val="00D404F0"/>
    <w:rsid w:val="00D475EE"/>
    <w:rsid w:val="00D53837"/>
    <w:rsid w:val="00D607BC"/>
    <w:rsid w:val="00D72A08"/>
    <w:rsid w:val="00D80C8B"/>
    <w:rsid w:val="00D8165A"/>
    <w:rsid w:val="00D81FF4"/>
    <w:rsid w:val="00D82416"/>
    <w:rsid w:val="00D879BD"/>
    <w:rsid w:val="00D9272C"/>
    <w:rsid w:val="00D93B97"/>
    <w:rsid w:val="00DA001F"/>
    <w:rsid w:val="00DA0033"/>
    <w:rsid w:val="00DA035E"/>
    <w:rsid w:val="00DB2443"/>
    <w:rsid w:val="00DC3B3C"/>
    <w:rsid w:val="00DC55C9"/>
    <w:rsid w:val="00DD471D"/>
    <w:rsid w:val="00DD4757"/>
    <w:rsid w:val="00DE355F"/>
    <w:rsid w:val="00DE54D7"/>
    <w:rsid w:val="00DE7924"/>
    <w:rsid w:val="00DF0355"/>
    <w:rsid w:val="00E05043"/>
    <w:rsid w:val="00E05361"/>
    <w:rsid w:val="00E259BF"/>
    <w:rsid w:val="00E26E27"/>
    <w:rsid w:val="00E27D41"/>
    <w:rsid w:val="00E33B09"/>
    <w:rsid w:val="00E405F8"/>
    <w:rsid w:val="00E45D7E"/>
    <w:rsid w:val="00E54510"/>
    <w:rsid w:val="00E54EB4"/>
    <w:rsid w:val="00E60746"/>
    <w:rsid w:val="00E630A5"/>
    <w:rsid w:val="00E64815"/>
    <w:rsid w:val="00E66D69"/>
    <w:rsid w:val="00E6757F"/>
    <w:rsid w:val="00E67868"/>
    <w:rsid w:val="00E7347F"/>
    <w:rsid w:val="00E80B30"/>
    <w:rsid w:val="00E828AE"/>
    <w:rsid w:val="00E83D80"/>
    <w:rsid w:val="00E92583"/>
    <w:rsid w:val="00E92E02"/>
    <w:rsid w:val="00E96A0C"/>
    <w:rsid w:val="00EA48C4"/>
    <w:rsid w:val="00EA6228"/>
    <w:rsid w:val="00EB0994"/>
    <w:rsid w:val="00EB1D82"/>
    <w:rsid w:val="00EB2238"/>
    <w:rsid w:val="00EB2C44"/>
    <w:rsid w:val="00EB40ED"/>
    <w:rsid w:val="00ED2074"/>
    <w:rsid w:val="00ED5208"/>
    <w:rsid w:val="00ED525A"/>
    <w:rsid w:val="00EE091F"/>
    <w:rsid w:val="00EE109D"/>
    <w:rsid w:val="00F02120"/>
    <w:rsid w:val="00F05AED"/>
    <w:rsid w:val="00F14E94"/>
    <w:rsid w:val="00F164E4"/>
    <w:rsid w:val="00F1714D"/>
    <w:rsid w:val="00F33897"/>
    <w:rsid w:val="00F42504"/>
    <w:rsid w:val="00F446B7"/>
    <w:rsid w:val="00F63321"/>
    <w:rsid w:val="00F635BB"/>
    <w:rsid w:val="00F80807"/>
    <w:rsid w:val="00F94DD2"/>
    <w:rsid w:val="00F9591E"/>
    <w:rsid w:val="00FA0765"/>
    <w:rsid w:val="00FA7B5A"/>
    <w:rsid w:val="00FB0411"/>
    <w:rsid w:val="00FC031D"/>
    <w:rsid w:val="00FC06BD"/>
    <w:rsid w:val="00FC08A8"/>
    <w:rsid w:val="00FC2238"/>
    <w:rsid w:val="00FC7312"/>
    <w:rsid w:val="00FD4269"/>
    <w:rsid w:val="00FE7080"/>
    <w:rsid w:val="16171B15"/>
    <w:rsid w:val="6788E046"/>
    <w:rsid w:val="703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425D599"/>
  <w15:docId w15:val="{DD941A10-B3DF-4F3C-8713-9C58391D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uiPriority w:val="22"/>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442B8F"/>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uiPriority w:val="99"/>
    <w:rsid w:val="003C6A56"/>
    <w:pPr>
      <w:autoSpaceDE/>
      <w:autoSpaceDN/>
      <w:adjustRightInd/>
      <w:snapToGrid/>
    </w:pPr>
    <w:rPr>
      <w:rFonts w:ascii="Verdana" w:hAnsi="Verdana"/>
      <w:color w:val="726F65"/>
    </w:rPr>
  </w:style>
  <w:style w:type="character" w:customStyle="1" w:styleId="apple-converted-space">
    <w:name w:val="apple-converted-space"/>
    <w:basedOn w:val="DefaultParagraphFont"/>
    <w:rsid w:val="00820AEC"/>
  </w:style>
  <w:style w:type="character" w:styleId="Emphasis">
    <w:name w:val="Emphasis"/>
    <w:basedOn w:val="DefaultParagraphFont"/>
    <w:uiPriority w:val="20"/>
    <w:qFormat/>
    <w:rsid w:val="00820AEC"/>
    <w:rPr>
      <w:i/>
      <w:iCs/>
    </w:rPr>
  </w:style>
  <w:style w:type="character" w:customStyle="1" w:styleId="werd">
    <w:name w:val="werd"/>
    <w:basedOn w:val="DefaultParagraphFont"/>
    <w:rsid w:val="00DE54D7"/>
  </w:style>
  <w:style w:type="paragraph" w:styleId="ListParagraph">
    <w:name w:val="List Paragraph"/>
    <w:basedOn w:val="Normal"/>
    <w:uiPriority w:val="34"/>
    <w:qFormat/>
    <w:rsid w:val="00D23762"/>
    <w:pPr>
      <w:ind w:left="720"/>
      <w:contextualSpacing/>
    </w:pPr>
  </w:style>
  <w:style w:type="table" w:styleId="TableGrid">
    <w:name w:val="Table Grid"/>
    <w:basedOn w:val="TableNormal"/>
    <w:uiPriority w:val="59"/>
    <w:rsid w:val="0059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81749E"/>
  </w:style>
  <w:style w:type="character" w:customStyle="1" w:styleId="Mention1">
    <w:name w:val="Mention1"/>
    <w:basedOn w:val="DefaultParagraphFont"/>
    <w:uiPriority w:val="99"/>
    <w:semiHidden/>
    <w:unhideWhenUsed/>
    <w:rsid w:val="00E648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0111">
      <w:bodyDiv w:val="1"/>
      <w:marLeft w:val="0"/>
      <w:marRight w:val="0"/>
      <w:marTop w:val="0"/>
      <w:marBottom w:val="0"/>
      <w:divBdr>
        <w:top w:val="none" w:sz="0" w:space="0" w:color="auto"/>
        <w:left w:val="none" w:sz="0" w:space="0" w:color="auto"/>
        <w:bottom w:val="none" w:sz="0" w:space="0" w:color="auto"/>
        <w:right w:val="none" w:sz="0" w:space="0" w:color="auto"/>
      </w:divBdr>
    </w:div>
    <w:div w:id="794182125">
      <w:bodyDiv w:val="1"/>
      <w:marLeft w:val="0"/>
      <w:marRight w:val="0"/>
      <w:marTop w:val="0"/>
      <w:marBottom w:val="0"/>
      <w:divBdr>
        <w:top w:val="none" w:sz="0" w:space="0" w:color="auto"/>
        <w:left w:val="none" w:sz="0" w:space="0" w:color="auto"/>
        <w:bottom w:val="none" w:sz="0" w:space="0" w:color="auto"/>
        <w:right w:val="none" w:sz="0" w:space="0" w:color="auto"/>
      </w:divBdr>
    </w:div>
    <w:div w:id="1631397007">
      <w:bodyDiv w:val="1"/>
      <w:marLeft w:val="0"/>
      <w:marRight w:val="0"/>
      <w:marTop w:val="0"/>
      <w:marBottom w:val="0"/>
      <w:divBdr>
        <w:top w:val="none" w:sz="0" w:space="0" w:color="auto"/>
        <w:left w:val="none" w:sz="0" w:space="0" w:color="auto"/>
        <w:bottom w:val="none" w:sz="0" w:space="0" w:color="auto"/>
        <w:right w:val="none" w:sz="0" w:space="0" w:color="auto"/>
      </w:divBdr>
      <w:divsChild>
        <w:div w:id="2105881954">
          <w:marLeft w:val="0"/>
          <w:marRight w:val="0"/>
          <w:marTop w:val="0"/>
          <w:marBottom w:val="0"/>
          <w:divBdr>
            <w:top w:val="none" w:sz="0" w:space="0" w:color="auto"/>
            <w:left w:val="none" w:sz="0" w:space="0" w:color="auto"/>
            <w:bottom w:val="none" w:sz="0" w:space="0" w:color="auto"/>
            <w:right w:val="none" w:sz="0" w:space="0" w:color="auto"/>
          </w:divBdr>
        </w:div>
        <w:div w:id="26412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proxy-library.ashford.edu/10.1080/17524032.2017.128911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proxy-library.ashford.edu/10.1080/17524032.2017.133396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proxy-library.ashford.edu/10.1080/17524032.2015.108401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proxy-library.ashford.edu/10.18848/1836-6236/CGP/v04i04/51405" TargetMode="External"/><Relationship Id="rId20" Type="http://schemas.openxmlformats.org/officeDocument/2006/relationships/hyperlink" Target="https://doi-org.proxy-library.ashford.edu/10.2298/TSCI150628194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n.wikipedia.org/wiki/Environmental_protocol" TargetMode="External"/><Relationship Id="rId23" Type="http://schemas.openxmlformats.org/officeDocument/2006/relationships/hyperlink" Target="https://unfccc.int/process-and-meetings/the-paris-agreement/what-is-the-paris-agreement" TargetMode="External"/><Relationship Id="rId10" Type="http://schemas.openxmlformats.org/officeDocument/2006/relationships/endnotes" Target="endnotes.xml"/><Relationship Id="rId19" Type="http://schemas.openxmlformats.org/officeDocument/2006/relationships/hyperlink" Target="https://doi-org.proxy-library.ashford.edu/10.3390/su110718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International_law" TargetMode="External"/><Relationship Id="rId22" Type="http://schemas.openxmlformats.org/officeDocument/2006/relationships/hyperlink" Target="https://doi-org.proxy-library.ashford.edu/10.1037/xap0000105.s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83A9B72-56C6-4127-A072-644E193FF2B4}">
  <ds:schemaRefs>
    <ds:schemaRef ds:uri="http://schemas.microsoft.com/sharepoint/v3/contenttype/forms"/>
  </ds:schemaRefs>
</ds:datastoreItem>
</file>

<file path=customXml/itemProps2.xml><?xml version="1.0" encoding="utf-8"?>
<ds:datastoreItem xmlns:ds="http://schemas.openxmlformats.org/officeDocument/2006/customXml" ds:itemID="{B33EA073-086C-47F7-80B0-7693A07EFECC}">
  <ds:schemaRefs>
    <ds:schemaRef ds:uri="http://schemas.microsoft.com/office/2006/metadata/properties"/>
  </ds:schemaRefs>
</ds:datastoreItem>
</file>

<file path=customXml/itemProps3.xml><?xml version="1.0" encoding="utf-8"?>
<ds:datastoreItem xmlns:ds="http://schemas.openxmlformats.org/officeDocument/2006/customXml" ds:itemID="{F49ADFF4-9743-466D-8056-A1A03AAA81FC}">
  <ds:schemaRefs>
    <ds:schemaRef ds:uri="http://schemas.openxmlformats.org/officeDocument/2006/bibliography"/>
  </ds:schemaRefs>
</ds:datastoreItem>
</file>

<file path=customXml/itemProps4.xml><?xml version="1.0" encoding="utf-8"?>
<ds:datastoreItem xmlns:ds="http://schemas.openxmlformats.org/officeDocument/2006/customXml" ds:itemID="{6FF1D1D4-DFDC-4CDD-86D1-52F1FED1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2413</Words>
  <Characters>14387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creator>None</dc:creator>
  <cp:lastModifiedBy>Jill Thonssen</cp:lastModifiedBy>
  <cp:revision>2</cp:revision>
  <cp:lastPrinted>2005-06-26T10:17:00Z</cp:lastPrinted>
  <dcterms:created xsi:type="dcterms:W3CDTF">2021-09-29T22:25:00Z</dcterms:created>
  <dcterms:modified xsi:type="dcterms:W3CDTF">2021-09-29T22:25:00Z</dcterms:modified>
</cp:coreProperties>
</file>